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49" w:rsidRPr="00C50049" w:rsidRDefault="00C50049" w:rsidP="00C50049">
      <w:pPr>
        <w:shd w:val="clear" w:color="auto" w:fill="FFFFFF"/>
        <w:spacing w:before="120" w:after="120" w:line="234" w:lineRule="atLeast"/>
        <w:jc w:val="center"/>
        <w:rPr>
          <w:rFonts w:ascii="Arial" w:eastAsia="Times New Roman" w:hAnsi="Arial" w:cs="Arial"/>
          <w:color w:val="000000"/>
          <w:sz w:val="18"/>
          <w:szCs w:val="18"/>
        </w:rPr>
      </w:pPr>
      <w:bookmarkStart w:id="0" w:name="_GoBack"/>
      <w:bookmarkEnd w:id="0"/>
      <w:r w:rsidRPr="00C50049">
        <w:rPr>
          <w:rFonts w:ascii="Arial" w:eastAsia="Times New Roman" w:hAnsi="Arial" w:cs="Arial"/>
          <w:b/>
          <w:bCs/>
          <w:color w:val="000000"/>
          <w:sz w:val="18"/>
          <w:szCs w:val="18"/>
        </w:rPr>
        <w:t>BỘ TIÊU CHÍ XÂY DỰNG KHU DÂN CƯ NÔNG THÔN MỚI KIỂU MẪU</w:t>
      </w:r>
    </w:p>
    <w:p w:rsidR="00C50049" w:rsidRPr="00C50049" w:rsidRDefault="00C50049" w:rsidP="00C50049">
      <w:pPr>
        <w:shd w:val="clear" w:color="auto" w:fill="FFFFFF"/>
        <w:spacing w:before="120" w:after="120" w:line="234" w:lineRule="atLeast"/>
        <w:jc w:val="center"/>
        <w:rPr>
          <w:rFonts w:ascii="Arial" w:eastAsia="Times New Roman" w:hAnsi="Arial" w:cs="Arial"/>
          <w:color w:val="000000"/>
          <w:sz w:val="18"/>
          <w:szCs w:val="18"/>
        </w:rPr>
      </w:pPr>
      <w:r w:rsidRPr="00C50049">
        <w:rPr>
          <w:rFonts w:ascii="Arial" w:eastAsia="Times New Roman" w:hAnsi="Arial" w:cs="Arial"/>
          <w:i/>
          <w:iCs/>
          <w:color w:val="000000"/>
          <w:sz w:val="18"/>
          <w:szCs w:val="18"/>
        </w:rPr>
        <w:t xml:space="preserve">(Ban hành kèm </w:t>
      </w:r>
      <w:proofErr w:type="gramStart"/>
      <w:r w:rsidRPr="00C50049">
        <w:rPr>
          <w:rFonts w:ascii="Arial" w:eastAsia="Times New Roman" w:hAnsi="Arial" w:cs="Arial"/>
          <w:i/>
          <w:iCs/>
          <w:color w:val="000000"/>
          <w:sz w:val="18"/>
          <w:szCs w:val="18"/>
        </w:rPr>
        <w:t>theo</w:t>
      </w:r>
      <w:proofErr w:type="gramEnd"/>
      <w:r w:rsidRPr="00C50049">
        <w:rPr>
          <w:rFonts w:ascii="Arial" w:eastAsia="Times New Roman" w:hAnsi="Arial" w:cs="Arial"/>
          <w:i/>
          <w:iCs/>
          <w:color w:val="000000"/>
          <w:sz w:val="18"/>
          <w:szCs w:val="18"/>
        </w:rPr>
        <w:t xml:space="preserve"> Quyết định số 33/2014/QĐ-UBND ngày 31/7/2014 của UBND tỉnh)</w:t>
      </w:r>
    </w:p>
    <w:tbl>
      <w:tblPr>
        <w:tblW w:w="0" w:type="auto"/>
        <w:jc w:val="center"/>
        <w:tblCellSpacing w:w="0" w:type="dxa"/>
        <w:tblCellMar>
          <w:left w:w="0" w:type="dxa"/>
          <w:right w:w="0" w:type="dxa"/>
        </w:tblCellMar>
        <w:tblLook w:val="04A0"/>
      </w:tblPr>
      <w:tblGrid>
        <w:gridCol w:w="601"/>
        <w:gridCol w:w="1299"/>
        <w:gridCol w:w="5377"/>
        <w:gridCol w:w="1603"/>
      </w:tblGrid>
      <w:tr w:rsidR="00C50049" w:rsidRPr="00C50049" w:rsidTr="00C50049">
        <w:trPr>
          <w:tblCellSpacing w:w="0" w:type="dxa"/>
          <w:jc w:val="center"/>
        </w:trPr>
        <w:tc>
          <w:tcPr>
            <w:tcW w:w="601"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TT</w:t>
            </w:r>
          </w:p>
        </w:tc>
        <w:tc>
          <w:tcPr>
            <w:tcW w:w="129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Tên tiêu chí</w:t>
            </w:r>
          </w:p>
        </w:tc>
        <w:tc>
          <w:tcPr>
            <w:tcW w:w="5377"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Nội dung tiêu chí</w:t>
            </w:r>
          </w:p>
        </w:tc>
        <w:tc>
          <w:tcPr>
            <w:tcW w:w="157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Chỉ tiêu</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1</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Nhà ở và công trình phụ trợ</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1.1. Tỷ lệ nhà ở dân cư đạt tiêu chuẩn theo quy định của Bộ Xây dựng (đảm bảo 3 cứng: nền cứng, khung cứng, mái cứng; diện tích tối thiểu đạt 14m</w:t>
            </w:r>
            <w:r w:rsidRPr="00C50049">
              <w:rPr>
                <w:rFonts w:eastAsia="Times New Roman"/>
                <w:sz w:val="24"/>
                <w:szCs w:val="24"/>
                <w:vertAlign w:val="superscript"/>
              </w:rPr>
              <w:t>2</w:t>
            </w:r>
            <w:r w:rsidRPr="00C50049">
              <w:rPr>
                <w:rFonts w:eastAsia="Times New Roman"/>
                <w:sz w:val="24"/>
                <w:szCs w:val="24"/>
              </w:rPr>
              <w:t>/người; niên hạn </w:t>
            </w:r>
            <w:r w:rsidRPr="00C50049">
              <w:rPr>
                <w:rFonts w:eastAsia="Times New Roman"/>
                <w:sz w:val="24"/>
                <w:szCs w:val="24"/>
                <w:shd w:val="clear" w:color="auto" w:fill="FFFFFF"/>
              </w:rPr>
              <w:t>sử dụng</w:t>
            </w:r>
            <w:r w:rsidRPr="00C50049">
              <w:rPr>
                <w:rFonts w:eastAsia="Times New Roman"/>
                <w:sz w:val="24"/>
                <w:szCs w:val="24"/>
              </w:rPr>
              <w:t> tối thiểu 20 năm).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90%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1.2. Đồ đạc được sắp xếp gọn gàng, ngăn nắp, khoa học</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1.3. Nhà ở có kiến trúc phù hợp phong tục, tập quán đặc trưng </w:t>
            </w:r>
            <w:r w:rsidRPr="00C50049">
              <w:rPr>
                <w:rFonts w:eastAsia="Times New Roman"/>
                <w:sz w:val="24"/>
                <w:szCs w:val="24"/>
                <w:shd w:val="clear" w:color="auto" w:fill="FFFFFF"/>
              </w:rPr>
              <w:t>của</w:t>
            </w:r>
            <w:r w:rsidRPr="00C50049">
              <w:rPr>
                <w:rFonts w:eastAsia="Times New Roman"/>
                <w:sz w:val="24"/>
                <w:szCs w:val="24"/>
              </w:rPr>
              <w:t> địa ph</w:t>
            </w:r>
            <w:r w:rsidRPr="00C50049">
              <w:rPr>
                <w:rFonts w:eastAsia="Times New Roman"/>
                <w:sz w:val="24"/>
                <w:szCs w:val="24"/>
                <w:shd w:val="clear" w:color="auto" w:fill="FFFFFF"/>
              </w:rPr>
              <w:t>ươ</w:t>
            </w:r>
            <w:r w:rsidRPr="00C50049">
              <w:rPr>
                <w:rFonts w:eastAsia="Times New Roman"/>
                <w:sz w:val="24"/>
                <w:szCs w:val="24"/>
              </w:rPr>
              <w:t>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1.4. Không có nhà tạm, nhà dột nát.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1.5. Các công trình phụ trợ thuận tiện sinh hoạt, ngăn nắp, hợp vệ sinh.</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2</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V</w:t>
            </w:r>
            <w:r w:rsidRPr="00C50049">
              <w:rPr>
                <w:rFonts w:eastAsia="Times New Roman"/>
                <w:b/>
                <w:bCs/>
                <w:sz w:val="24"/>
                <w:szCs w:val="24"/>
                <w:shd w:val="clear" w:color="auto" w:fill="FFFFFF"/>
              </w:rPr>
              <w:t>ườ</w:t>
            </w:r>
            <w:r w:rsidRPr="00C50049">
              <w:rPr>
                <w:rFonts w:eastAsia="Times New Roman"/>
                <w:b/>
                <w:bCs/>
                <w:sz w:val="24"/>
                <w:szCs w:val="24"/>
              </w:rPr>
              <w:t>n hộ và công trình chăn nuôi</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2.1. Tối thiểu 90% số hộ đạt các yêu cầu sau:</w:t>
            </w:r>
          </w:p>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Diện tích cây xanh/tổng diện tích đất làm nhà ở và đất vườn trên 35%; diện tích cây cho sản phẩm hàng hóa chủ lực/diện tích trồng cây trên 50%;</w:t>
            </w:r>
          </w:p>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Thu nhập trên cùng 1 đơn vị diện tích đối với trồng cây trong vườn ³ 5 lần thu nhập từ trồng lúa </w:t>
            </w:r>
            <w:r w:rsidRPr="00C50049">
              <w:rPr>
                <w:rFonts w:eastAsia="Times New Roman"/>
                <w:sz w:val="24"/>
                <w:szCs w:val="24"/>
                <w:shd w:val="clear" w:color="auto" w:fill="FFFFFF"/>
              </w:rPr>
              <w:t>trong</w:t>
            </w:r>
            <w:r w:rsidRPr="00C50049">
              <w:rPr>
                <w:rFonts w:eastAsia="Times New Roman"/>
                <w:sz w:val="24"/>
                <w:szCs w:val="24"/>
              </w:rPr>
              <w:t> xã;</w:t>
            </w:r>
          </w:p>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Có sản phẩm sạch, đảm bảo an toàn vệ sinh thực phẩm; ứng dụng khoa học công nghệ trong sản xuất vườn; có hệ thống tưới, tiêu nước; cảnh quan đẹp, vệ sinh môi trường đảm bảo; thu nhập từ kinh tế vườn hàng năm tối thiểu đạt 25 triệu đồng/500m</w:t>
            </w:r>
            <w:r w:rsidRPr="00C50049">
              <w:rPr>
                <w:rFonts w:eastAsia="Times New Roman"/>
                <w:sz w:val="24"/>
                <w:szCs w:val="24"/>
                <w:vertAlign w:val="superscript"/>
              </w:rPr>
              <w:t>2</w:t>
            </w:r>
            <w:r w:rsidRPr="00C50049">
              <w:rPr>
                <w:rFonts w:eastAsia="Times New Roman"/>
                <w:sz w:val="24"/>
                <w:szCs w:val="24"/>
              </w:rPr>
              <w: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2.2. Tối thiểu 90% hộ có chuồng trại chăn nuôi đúng quy cách kỹ thuật, có sử dụng bể biogas hoặc chế phẩm sinh học, đảm bảo vệ sinh môi trường.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601" w:type="dxa"/>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3</w:t>
            </w:r>
          </w:p>
        </w:tc>
        <w:tc>
          <w:tcPr>
            <w:tcW w:w="129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Hàng rào</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Tỷ lệ hàng rào cây xanh hoặc hàng rào khác được phủ cây xanh.</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70%</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4</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Đường giao thông</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4.1. Đường trục thôn, xóm: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km đường nhựa hoặc bê tông đạt quy định của Bộ Giao thông vận tải (mặt đường rộng tối thiểu 3,5m; trừ trường hợp bất khả kháng là 3,0m).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80%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đ</w:t>
            </w:r>
            <w:r w:rsidRPr="00C50049">
              <w:rPr>
                <w:rFonts w:eastAsia="Times New Roman"/>
                <w:sz w:val="24"/>
                <w:szCs w:val="24"/>
                <w:shd w:val="clear" w:color="auto" w:fill="FFFFFF"/>
              </w:rPr>
              <w:t>ườ</w:t>
            </w:r>
            <w:r w:rsidRPr="00C50049">
              <w:rPr>
                <w:rFonts w:eastAsia="Times New Roman"/>
                <w:sz w:val="24"/>
                <w:szCs w:val="24"/>
              </w:rPr>
              <w:t>ng đã có lề mỗi bên ít nhất 1,5m.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90%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Rãnh </w:t>
            </w:r>
            <w:r w:rsidRPr="00C50049">
              <w:rPr>
                <w:rFonts w:eastAsia="Times New Roman"/>
                <w:sz w:val="24"/>
                <w:szCs w:val="24"/>
                <w:shd w:val="clear" w:color="auto" w:fill="FFFFFF"/>
              </w:rPr>
              <w:t>thoát</w:t>
            </w:r>
            <w:r w:rsidRPr="00C50049">
              <w:rPr>
                <w:rFonts w:eastAsia="Times New Roman"/>
                <w:sz w:val="24"/>
                <w:szCs w:val="24"/>
              </w:rPr>
              <w:t> nước hai bên đ</w:t>
            </w:r>
            <w:r w:rsidRPr="00C50049">
              <w:rPr>
                <w:rFonts w:eastAsia="Times New Roman"/>
                <w:sz w:val="24"/>
                <w:szCs w:val="24"/>
                <w:shd w:val="clear" w:color="auto" w:fill="FFFFFF"/>
              </w:rPr>
              <w:t>ườ</w:t>
            </w:r>
            <w:r w:rsidRPr="00C50049">
              <w:rPr>
                <w:rFonts w:eastAsia="Times New Roman"/>
                <w:sz w:val="24"/>
                <w:szCs w:val="24"/>
              </w:rPr>
              <w:t>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90%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Cắm mốc đầy đủ hành lang đường theo quy hoạch NTM được duyệt.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Có biển báo giao thông đầu các trục thôn (biển báo hạn chế tải trọng xe, biển chỉ dẫn...).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đường có cây bóng mát hai bên đường (khoảng cách cây cách cây tối đa là 10m)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90%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4.2. Đường ngõ, xóm: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km đường có nền cứng đạt chuẩn (mặt đường tối thiểu 3,0m; trừ trường hợp bất khả kháng là 2,0m).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75%</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Không có đường lầy lội vào mùa mưa</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đường có lề mỗi bên tối thiểu 0,5m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90%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Rãnh </w:t>
            </w:r>
            <w:r w:rsidRPr="00C50049">
              <w:rPr>
                <w:rFonts w:eastAsia="Times New Roman"/>
                <w:sz w:val="24"/>
                <w:szCs w:val="24"/>
                <w:shd w:val="clear" w:color="auto" w:fill="FFFFFF"/>
              </w:rPr>
              <w:t>thoát</w:t>
            </w:r>
            <w:r w:rsidRPr="00C50049">
              <w:rPr>
                <w:rFonts w:eastAsia="Times New Roman"/>
                <w:sz w:val="24"/>
                <w:szCs w:val="24"/>
              </w:rPr>
              <w:t> nước mặt đường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Có</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đường có cây bóng mát ở hai bên đ</w:t>
            </w:r>
            <w:r w:rsidRPr="00C50049">
              <w:rPr>
                <w:rFonts w:eastAsia="Times New Roman"/>
                <w:sz w:val="24"/>
                <w:szCs w:val="24"/>
                <w:shd w:val="clear" w:color="auto" w:fill="FFFFFF"/>
              </w:rPr>
              <w:t>ườ</w:t>
            </w:r>
            <w:r w:rsidRPr="00C50049">
              <w:rPr>
                <w:rFonts w:eastAsia="Times New Roman"/>
                <w:sz w:val="24"/>
                <w:szCs w:val="24"/>
              </w:rPr>
              <w:t>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90%</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5</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Nhà văn hóa và Khu thể thao thôn</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5.1. Nhà văn </w:t>
            </w:r>
            <w:r w:rsidRPr="00C50049">
              <w:rPr>
                <w:rFonts w:eastAsia="Times New Roman"/>
                <w:sz w:val="24"/>
                <w:szCs w:val="24"/>
                <w:shd w:val="clear" w:color="auto" w:fill="FFFFFF"/>
              </w:rPr>
              <w:t>hóa</w:t>
            </w:r>
            <w:r w:rsidRPr="00C50049">
              <w:rPr>
                <w:rFonts w:eastAsia="Times New Roman"/>
                <w:sz w:val="24"/>
                <w:szCs w:val="24"/>
              </w:rPr>
              <w:t> thôn: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Diện tích đất tối thiểu 500m</w:t>
            </w:r>
            <w:r w:rsidRPr="00C50049">
              <w:rPr>
                <w:rFonts w:eastAsia="Times New Roman"/>
                <w:sz w:val="24"/>
                <w:szCs w:val="24"/>
                <w:vertAlign w:val="superscript"/>
              </w:rPr>
              <w:t>2</w:t>
            </w:r>
            <w:r w:rsidRPr="00C50049">
              <w:rPr>
                <w:rFonts w:eastAsia="Times New Roman"/>
                <w:sz w:val="24"/>
                <w:szCs w:val="24"/>
              </w:rPr>
              <w:t> đối với đồng bằng, 300m</w:t>
            </w:r>
            <w:r w:rsidRPr="00C50049">
              <w:rPr>
                <w:rFonts w:eastAsia="Times New Roman"/>
                <w:sz w:val="24"/>
                <w:szCs w:val="24"/>
                <w:vertAlign w:val="superscript"/>
              </w:rPr>
              <w:t>2</w:t>
            </w:r>
            <w:r w:rsidRPr="00C50049">
              <w:rPr>
                <w:rFonts w:eastAsia="Times New Roman"/>
                <w:sz w:val="24"/>
                <w:szCs w:val="24"/>
              </w:rPr>
              <w:t> đối với miền núi.</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Đảm bảo chỗ ngồi tối thiểu bằng số hộ gia đình </w:t>
            </w:r>
            <w:r w:rsidRPr="00C50049">
              <w:rPr>
                <w:rFonts w:eastAsia="Times New Roman"/>
                <w:sz w:val="24"/>
                <w:szCs w:val="24"/>
                <w:shd w:val="clear" w:color="auto" w:fill="FFFFFF"/>
              </w:rPr>
              <w:t>trong</w:t>
            </w:r>
            <w:r w:rsidRPr="00C50049">
              <w:rPr>
                <w:rFonts w:eastAsia="Times New Roman"/>
                <w:sz w:val="24"/>
                <w:szCs w:val="24"/>
              </w:rPr>
              <w:t> thôn (đồng bằng tối thiểu 100 chỗ, miền núi tối thiểu 80 chỗ); tủ sách có ít nhất 100 đầu sách; hệ thống âm thanh và trang thiết bị khác đảm bảo sinh hoạt văn hóa, văn nghệ; trong khuôn viên nhà văn </w:t>
            </w:r>
            <w:r w:rsidRPr="00C50049">
              <w:rPr>
                <w:rFonts w:eastAsia="Times New Roman"/>
                <w:sz w:val="24"/>
                <w:szCs w:val="24"/>
                <w:shd w:val="clear" w:color="auto" w:fill="FFFFFF"/>
              </w:rPr>
              <w:t>hóa</w:t>
            </w:r>
            <w:r w:rsidRPr="00C50049">
              <w:rPr>
                <w:rFonts w:eastAsia="Times New Roman"/>
                <w:sz w:val="24"/>
                <w:szCs w:val="24"/>
              </w:rPr>
              <w:t> có bồn hoa; diện tích trồng cây xanh tối thiểu 25%</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Hàng rào bằng cây xanh hoặc hàng rào khác được phủ cây xanh</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100%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Công trình vệ sinh đảm bảo tiêu chuẩn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Thu hút tham gia hoạt động trong năm tại Nhà văn </w:t>
            </w:r>
            <w:r w:rsidRPr="00C50049">
              <w:rPr>
                <w:rFonts w:eastAsia="Times New Roman"/>
                <w:sz w:val="24"/>
                <w:szCs w:val="24"/>
                <w:shd w:val="clear" w:color="auto" w:fill="FFFFFF"/>
              </w:rPr>
              <w:t>hóa</w:t>
            </w:r>
            <w:r w:rsidRPr="00C50049">
              <w:rPr>
                <w:rFonts w:eastAsia="Times New Roman"/>
                <w:sz w:val="24"/>
                <w:szCs w:val="24"/>
              </w:rPr>
              <w:t> thôn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Đồng bằng: ³ 50% dân số</w:t>
            </w:r>
            <w:r w:rsidRPr="00C50049">
              <w:rPr>
                <w:rFonts w:eastAsia="Times New Roman"/>
                <w:sz w:val="24"/>
                <w:szCs w:val="24"/>
              </w:rPr>
              <w:br/>
              <w:t>Miền núi: ³ 30% dân số</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xml:space="preserve">- Hệ thống loa phát thanh tất cả các hộ gia đình trong </w:t>
            </w:r>
            <w:r w:rsidRPr="00C50049">
              <w:rPr>
                <w:rFonts w:eastAsia="Times New Roman"/>
                <w:sz w:val="24"/>
                <w:szCs w:val="24"/>
              </w:rPr>
              <w:lastRenderedPageBreak/>
              <w:t>thôn có thể nghe được hoạt động hàng ngày</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lastRenderedPageBreak/>
              <w:t>Có</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5.2. Khu thể thao thôn: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Diện tích đất tối thiểu 2.000m</w:t>
            </w:r>
            <w:r w:rsidRPr="00C50049">
              <w:rPr>
                <w:rFonts w:eastAsia="Times New Roman"/>
                <w:sz w:val="24"/>
                <w:szCs w:val="24"/>
                <w:vertAlign w:val="superscript"/>
              </w:rPr>
              <w:t>2</w:t>
            </w:r>
            <w:r w:rsidRPr="00C50049">
              <w:rPr>
                <w:rFonts w:eastAsia="Times New Roman"/>
                <w:sz w:val="24"/>
                <w:szCs w:val="24"/>
              </w:rPr>
              <w: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Có một số dụng cụ thể thao phù hợp với phong trào thể thao quần chúng ở địa ph</w:t>
            </w:r>
            <w:r w:rsidRPr="00C50049">
              <w:rPr>
                <w:rFonts w:eastAsia="Times New Roman"/>
                <w:sz w:val="24"/>
                <w:szCs w:val="24"/>
                <w:shd w:val="clear" w:color="auto" w:fill="FFFFFF"/>
              </w:rPr>
              <w:t>ươ</w:t>
            </w:r>
            <w:r w:rsidRPr="00C50049">
              <w:rPr>
                <w:rFonts w:eastAsia="Times New Roman"/>
                <w:sz w:val="24"/>
                <w:szCs w:val="24"/>
              </w:rPr>
              <w:t>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Thu hút người dân tham gia hoạt động thể dục thể thao thường xuyên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Đồng bằng: ³ 25% dân số</w:t>
            </w:r>
            <w:r w:rsidRPr="00C50049">
              <w:rPr>
                <w:rFonts w:eastAsia="Times New Roman"/>
                <w:sz w:val="24"/>
                <w:szCs w:val="24"/>
              </w:rPr>
              <w:br/>
              <w:t>Miền núi: ³ 15% dân số</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6</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Hệ thống điện</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6.1. Hệ thống điện đảm bảo tiêu chuẩn kỹ thuật ngành điện (Lưới điện, trạm biến áp phân phối đảm bảo yêu cầu kỹ thuật, đảm bảo khoảng cách an toàn, chất lượng điện đảm bảo sự ổn định của điện áp trong mức cho phép</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6.2. Tỷ lệ hộ dân được sử dụng điện thường xuyên, an toàn từ các nguồn điện, có </w:t>
            </w:r>
            <w:r w:rsidRPr="00C50049">
              <w:rPr>
                <w:rFonts w:eastAsia="Times New Roman"/>
                <w:sz w:val="24"/>
                <w:szCs w:val="24"/>
                <w:shd w:val="clear" w:color="auto" w:fill="FFFFFF"/>
              </w:rPr>
              <w:t>sử dụng</w:t>
            </w:r>
            <w:r w:rsidRPr="00C50049">
              <w:rPr>
                <w:rFonts w:eastAsia="Times New Roman"/>
                <w:sz w:val="24"/>
                <w:szCs w:val="24"/>
              </w:rPr>
              <w:t> các thiết bị tiết kiệm điện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100%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6.3. Tỷ lệ km đường trục thôn, xóm có hệ thống điện chiếu sáng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80%</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7</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Văn hóa, Giáo dục, Y tế</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7.1. Văn </w:t>
            </w:r>
            <w:r w:rsidRPr="00C50049">
              <w:rPr>
                <w:rFonts w:eastAsia="Times New Roman"/>
                <w:sz w:val="24"/>
                <w:szCs w:val="24"/>
                <w:shd w:val="clear" w:color="auto" w:fill="FFFFFF"/>
              </w:rPr>
              <w:t>hóa</w:t>
            </w:r>
            <w:r w:rsidRPr="00C50049">
              <w:rPr>
                <w:rFonts w:eastAsia="Times New Roman"/>
                <w:sz w:val="24"/>
                <w:szCs w:val="24"/>
              </w:rPr>
              <w: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 </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Thôn được công nhận và giữ vững danh hiệu "Thôn Văn </w:t>
            </w:r>
            <w:r w:rsidRPr="00C50049">
              <w:rPr>
                <w:rFonts w:eastAsia="Times New Roman"/>
                <w:sz w:val="24"/>
                <w:szCs w:val="24"/>
                <w:shd w:val="clear" w:color="auto" w:fill="FFFFFF"/>
              </w:rPr>
              <w:t>hóa</w:t>
            </w:r>
            <w:r w:rsidRPr="00C50049">
              <w:rPr>
                <w:rFonts w:eastAsia="Times New Roman"/>
                <w:sz w:val="24"/>
                <w:szCs w:val="24"/>
              </w:rPr>
              <w:t>" liên tục tối thiểu 5 năm</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hộ gia đình đạt tiêu chuẩn Gia đình văn </w:t>
            </w:r>
            <w:r w:rsidRPr="00C50049">
              <w:rPr>
                <w:rFonts w:eastAsia="Times New Roman"/>
                <w:sz w:val="24"/>
                <w:szCs w:val="24"/>
                <w:shd w:val="clear" w:color="auto" w:fill="FFFFFF"/>
              </w:rPr>
              <w:t>hóa</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90%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người dân được phổ biến và thực hiện tốt chủ trương đường lối của Đảng, chính sách pháp luật của nhà nước và các quy định của địa phương, hộ gia đình thực hiện tốt các quy định về nếp sống văn minh trong việc cưới, việc tang và lễ hội</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100%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Người dân ứng xử văn minh lịch sự; giữ gìn và phát huy bản sắc văn hóa dân tộc</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7.2. Giáo dục:</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trẻ 6 tuổi vào lớp 1, trẻ hoàn thành </w:t>
            </w:r>
            <w:r w:rsidRPr="00C50049">
              <w:rPr>
                <w:rFonts w:eastAsia="Times New Roman"/>
                <w:sz w:val="24"/>
                <w:szCs w:val="24"/>
                <w:shd w:val="clear" w:color="auto" w:fill="FFFFFF"/>
              </w:rPr>
              <w:t>chương trình</w:t>
            </w:r>
            <w:r w:rsidRPr="00C50049">
              <w:rPr>
                <w:rFonts w:eastAsia="Times New Roman"/>
                <w:sz w:val="24"/>
                <w:szCs w:val="24"/>
              </w:rPr>
              <w:t> tiểu học vào học lớp 6 THCS</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100%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xml:space="preserve">- Không có học sinh bỏ học, không có học sinh xếp loại học lực yếu (đối với cấp học có xếp loại); không </w:t>
            </w:r>
            <w:r w:rsidRPr="00C50049">
              <w:rPr>
                <w:rFonts w:eastAsia="Times New Roman"/>
                <w:sz w:val="24"/>
                <w:szCs w:val="24"/>
              </w:rPr>
              <w:lastRenderedPageBreak/>
              <w:t>có học sinh vi phạm đạo đức, vi phạm pháp luật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lastRenderedPageBreak/>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7.3. Y tế:</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 </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Có tối thiểu 1 nhân viên y tế được đào tạo theo khung </w:t>
            </w:r>
            <w:r w:rsidRPr="00C50049">
              <w:rPr>
                <w:rFonts w:eastAsia="Times New Roman"/>
                <w:sz w:val="24"/>
                <w:szCs w:val="24"/>
                <w:shd w:val="clear" w:color="auto" w:fill="FFFFFF"/>
              </w:rPr>
              <w:t>chương trình</w:t>
            </w:r>
            <w:r w:rsidRPr="00C50049">
              <w:rPr>
                <w:rFonts w:eastAsia="Times New Roman"/>
                <w:sz w:val="24"/>
                <w:szCs w:val="24"/>
              </w:rPr>
              <w:t> do Bộ Y tế quy định; thường xuyên hoạt động theo chức năng, nhiệm vụ được giao</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Không phát sinh đối tượng mắc bệnh xã hội trong năm xét công nhận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 Tỷ lệ người tham gia BHYT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75%</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8</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Vệ sinh môi trường</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8.1. Tỷ lệ hộ được sử dụng nước sạch, hợp vệ sinh</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³ 85%, </w:t>
            </w:r>
            <w:r w:rsidRPr="00C50049">
              <w:rPr>
                <w:rFonts w:eastAsia="Times New Roman"/>
                <w:sz w:val="24"/>
                <w:szCs w:val="24"/>
                <w:shd w:val="clear" w:color="auto" w:fill="FFFFFF"/>
              </w:rPr>
              <w:t>trong</w:t>
            </w:r>
            <w:r w:rsidRPr="00C50049">
              <w:rPr>
                <w:rFonts w:eastAsia="Times New Roman"/>
                <w:sz w:val="24"/>
                <w:szCs w:val="24"/>
              </w:rPr>
              <w:t> đó 50% </w:t>
            </w:r>
            <w:r w:rsidRPr="00C50049">
              <w:rPr>
                <w:rFonts w:eastAsia="Times New Roman"/>
                <w:sz w:val="24"/>
                <w:szCs w:val="24"/>
                <w:shd w:val="clear" w:color="auto" w:fill="FFFFFF"/>
              </w:rPr>
              <w:t>sử dụng</w:t>
            </w:r>
            <w:r w:rsidRPr="00C50049">
              <w:rPr>
                <w:rFonts w:eastAsia="Times New Roman"/>
                <w:sz w:val="24"/>
                <w:szCs w:val="24"/>
              </w:rPr>
              <w:t> nước sạch đạt chuẩn Quốc gia 02-QC/BYT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8.2. Đ</w:t>
            </w:r>
            <w:r w:rsidRPr="00C50049">
              <w:rPr>
                <w:rFonts w:eastAsia="Times New Roman"/>
                <w:sz w:val="24"/>
                <w:szCs w:val="24"/>
                <w:shd w:val="clear" w:color="auto" w:fill="FFFFFF"/>
              </w:rPr>
              <w:t>ườ</w:t>
            </w:r>
            <w:r w:rsidRPr="00C50049">
              <w:rPr>
                <w:rFonts w:eastAsia="Times New Roman"/>
                <w:sz w:val="24"/>
                <w:szCs w:val="24"/>
              </w:rPr>
              <w:t>ng làng ngõ xóm các hộ gia đình đảm bảo yêu cầu: xanh - sạch - đẹp, không có hoạt động suy giảm môi trường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8.3. Có hệ thống xử lý tự thấm hoặc mương </w:t>
            </w:r>
            <w:r w:rsidRPr="00C50049">
              <w:rPr>
                <w:rFonts w:eastAsia="Times New Roman"/>
                <w:sz w:val="24"/>
                <w:szCs w:val="24"/>
                <w:shd w:val="clear" w:color="auto" w:fill="FFFFFF"/>
              </w:rPr>
              <w:t>thoát</w:t>
            </w:r>
            <w:r w:rsidRPr="00C50049">
              <w:rPr>
                <w:rFonts w:eastAsia="Times New Roman"/>
                <w:sz w:val="24"/>
                <w:szCs w:val="24"/>
              </w:rPr>
              <w:t> nước thải đảm bảo vệ sinh, không ô nhiễm môi trường; chất thải các hộ gia đình trước khi ra công cộng ít nhất phải qua sơ xử lý</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8.4. Có tổ vệ sinh môi trường, có điểm tập kết rác thải chung, rác thải phải được phân loại ngay từ hộ gia đình (hữu cơ và vô cơ - có túi hoặc thùng ghi rõ loại rác).</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8.5. Không có tình trạng vứt rác nơi công cộng và những nơi trái quy định; 100% hộ gia đình đều có ý thức và tham gia bảo vệ cảnh quan môi trường</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8.6. Định kỳ tối thiểu 01 lần/tuần có tổ chức làm vệ sinh chung toàn thôn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Có</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9</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Hệ thống chính trị và An ninh, trật tự xã hội</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9.1. Chi bộ thôn đạt danh hiệu trong sạch, vững mạnh</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9.2. Thôn và các </w:t>
            </w:r>
            <w:r w:rsidRPr="00C50049">
              <w:rPr>
                <w:rFonts w:eastAsia="Times New Roman"/>
                <w:sz w:val="24"/>
                <w:szCs w:val="24"/>
                <w:shd w:val="clear" w:color="auto" w:fill="FFFFFF"/>
              </w:rPr>
              <w:t>tổ chức</w:t>
            </w:r>
            <w:r w:rsidRPr="00C50049">
              <w:rPr>
                <w:rFonts w:eastAsia="Times New Roman"/>
                <w:sz w:val="24"/>
                <w:szCs w:val="24"/>
              </w:rPr>
              <w:t> đoàn thể chính trị xã hội trong thôn đạt Danh hiệu tiên tiến, xuất sắc</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9.3. An ninh trật tự đảm bảo; không có vụ việc hình sự xảy ra, không có cá nhân hoạt động chống Đảng, chính quyền, phá hoại kinh tế, truyền đạo trái pháp luật</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9.4. Không có tụ điểm phức tạp về trật tự xã hội và không phát sinh thêm người mắc các tai, tệ nạn xã hội trong năm xét công nhận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r w:rsidR="00C50049" w:rsidRPr="00C50049" w:rsidTr="00C50049">
        <w:trPr>
          <w:tblCellSpacing w:w="0" w:type="dxa"/>
          <w:jc w:val="center"/>
        </w:trPr>
        <w:tc>
          <w:tcPr>
            <w:tcW w:w="60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10</w:t>
            </w:r>
          </w:p>
        </w:tc>
        <w:tc>
          <w:tcPr>
            <w:tcW w:w="1299" w:type="dxa"/>
            <w:vMerge w:val="restart"/>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b/>
                <w:bCs/>
                <w:sz w:val="24"/>
                <w:szCs w:val="24"/>
              </w:rPr>
              <w:t>Chấp hành pháp luật, quy ước, hương ước và các quy định khác của các tổ chức</w:t>
            </w: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10.1. Tỷ lệ người dân chấp hành nghiêm chỉnh pháp luật, quy ước, hương ước, không bị phê bình, cảnh cáo trở lên (bằng văn bản).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100%</w:t>
            </w:r>
          </w:p>
        </w:tc>
      </w:tr>
      <w:tr w:rsidR="00C50049" w:rsidRPr="00C50049" w:rsidTr="00C50049">
        <w:trPr>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rsidR="00C50049" w:rsidRPr="00C50049" w:rsidRDefault="00C50049" w:rsidP="00C50049">
            <w:pPr>
              <w:spacing w:after="0" w:line="240" w:lineRule="auto"/>
              <w:rPr>
                <w:rFonts w:eastAsia="Times New Roman"/>
                <w:sz w:val="24"/>
                <w:szCs w:val="24"/>
              </w:rPr>
            </w:pPr>
          </w:p>
        </w:tc>
        <w:tc>
          <w:tcPr>
            <w:tcW w:w="5377"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rPr>
                <w:rFonts w:eastAsia="Times New Roman"/>
                <w:sz w:val="24"/>
                <w:szCs w:val="24"/>
              </w:rPr>
            </w:pPr>
            <w:r w:rsidRPr="00C50049">
              <w:rPr>
                <w:rFonts w:eastAsia="Times New Roman"/>
                <w:sz w:val="24"/>
                <w:szCs w:val="24"/>
              </w:rPr>
              <w:t>10.2. Đóng nộp các khoản đã thống nhất trong cộng đồng dân cư và các khoản khác theo quy định của pháp luật đầy đủ, đúng thời gian.</w:t>
            </w:r>
          </w:p>
        </w:tc>
        <w:tc>
          <w:tcPr>
            <w:tcW w:w="157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rsidR="00C50049" w:rsidRPr="00C50049" w:rsidRDefault="00C50049" w:rsidP="00C50049">
            <w:pPr>
              <w:spacing w:before="120" w:after="120" w:line="234" w:lineRule="atLeast"/>
              <w:jc w:val="center"/>
              <w:rPr>
                <w:rFonts w:eastAsia="Times New Roman"/>
                <w:sz w:val="24"/>
                <w:szCs w:val="24"/>
              </w:rPr>
            </w:pPr>
            <w:r w:rsidRPr="00C50049">
              <w:rPr>
                <w:rFonts w:eastAsia="Times New Roman"/>
                <w:sz w:val="24"/>
                <w:szCs w:val="24"/>
              </w:rPr>
              <w:t>Đạt</w:t>
            </w:r>
          </w:p>
        </w:tc>
      </w:tr>
    </w:tbl>
    <w:p w:rsidR="00C50049" w:rsidRPr="00C50049" w:rsidRDefault="00C50049" w:rsidP="00C50049">
      <w:pPr>
        <w:shd w:val="clear" w:color="auto" w:fill="FFFFFF"/>
        <w:spacing w:before="120" w:after="120" w:line="234" w:lineRule="atLeast"/>
        <w:rPr>
          <w:rFonts w:ascii="Arial" w:eastAsia="Times New Roman" w:hAnsi="Arial" w:cs="Arial"/>
          <w:color w:val="000000"/>
          <w:sz w:val="18"/>
          <w:szCs w:val="18"/>
        </w:rPr>
      </w:pPr>
      <w:r w:rsidRPr="00C50049">
        <w:rPr>
          <w:rFonts w:ascii="Arial" w:eastAsia="Times New Roman" w:hAnsi="Arial" w:cs="Arial"/>
          <w:i/>
          <w:iCs/>
          <w:color w:val="000000"/>
          <w:sz w:val="18"/>
          <w:szCs w:val="18"/>
        </w:rPr>
        <w:t>Ghi chú: Ngoài 10 tiêu chí trên các nội dung khác theo 19 tiêu chí xây dựng nông thôn mới có áp dụng tại địa bàn thôn đều phải đạt chuẩn</w:t>
      </w:r>
      <w:proofErr w:type="gramStart"/>
      <w:r w:rsidRPr="00C50049">
        <w:rPr>
          <w:rFonts w:ascii="Arial" w:eastAsia="Times New Roman" w:hAnsi="Arial" w:cs="Arial"/>
          <w:i/>
          <w:iCs/>
          <w:color w:val="000000"/>
          <w:sz w:val="18"/>
          <w:szCs w:val="18"/>
        </w:rPr>
        <w:t>./</w:t>
      </w:r>
      <w:proofErr w:type="gramEnd"/>
      <w:r w:rsidRPr="00C50049">
        <w:rPr>
          <w:rFonts w:ascii="Arial" w:eastAsia="Times New Roman" w:hAnsi="Arial" w:cs="Arial"/>
          <w:i/>
          <w:iCs/>
          <w:color w:val="000000"/>
          <w:sz w:val="18"/>
          <w:szCs w:val="18"/>
        </w:rPr>
        <w:t>.</w:t>
      </w:r>
    </w:p>
    <w:p w:rsidR="00C50049" w:rsidRPr="00C50049" w:rsidRDefault="00C50049" w:rsidP="00C50049">
      <w:pPr>
        <w:shd w:val="clear" w:color="auto" w:fill="FFFFFF"/>
        <w:spacing w:after="0" w:line="234" w:lineRule="atLeast"/>
        <w:jc w:val="right"/>
        <w:rPr>
          <w:rFonts w:ascii="Arial" w:eastAsia="Times New Roman" w:hAnsi="Arial" w:cs="Arial"/>
          <w:color w:val="000000"/>
          <w:sz w:val="18"/>
          <w:szCs w:val="18"/>
        </w:rPr>
      </w:pPr>
      <w:bookmarkStart w:id="1" w:name="bookmark3"/>
      <w:r w:rsidRPr="00C50049">
        <w:rPr>
          <w:rFonts w:ascii="Arial" w:eastAsia="Times New Roman" w:hAnsi="Arial" w:cs="Arial"/>
          <w:b/>
          <w:bCs/>
          <w:color w:val="000000"/>
          <w:sz w:val="18"/>
          <w:szCs w:val="18"/>
        </w:rPr>
        <w:t>ỦY BAN NHÂN DÂN TỈNH HÀ TĨNH</w:t>
      </w:r>
      <w:bookmarkEnd w:id="1"/>
    </w:p>
    <w:p w:rsidR="0090340F" w:rsidRDefault="0090340F"/>
    <w:sectPr w:rsidR="0090340F" w:rsidSect="00180C5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10D52"/>
    <w:multiLevelType w:val="multilevel"/>
    <w:tmpl w:val="9D4A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C50049"/>
    <w:rsid w:val="00003631"/>
    <w:rsid w:val="000357CB"/>
    <w:rsid w:val="000F4D83"/>
    <w:rsid w:val="00110BDD"/>
    <w:rsid w:val="00180C5B"/>
    <w:rsid w:val="00221DA3"/>
    <w:rsid w:val="002304FB"/>
    <w:rsid w:val="00251154"/>
    <w:rsid w:val="002714DE"/>
    <w:rsid w:val="00295F60"/>
    <w:rsid w:val="002A35E9"/>
    <w:rsid w:val="002B201A"/>
    <w:rsid w:val="002D6443"/>
    <w:rsid w:val="002D7163"/>
    <w:rsid w:val="00343E6E"/>
    <w:rsid w:val="00360B47"/>
    <w:rsid w:val="003F1C78"/>
    <w:rsid w:val="003F525B"/>
    <w:rsid w:val="004B3414"/>
    <w:rsid w:val="005D4DC2"/>
    <w:rsid w:val="00600B05"/>
    <w:rsid w:val="006B30CD"/>
    <w:rsid w:val="007B00CA"/>
    <w:rsid w:val="008302BA"/>
    <w:rsid w:val="00877A39"/>
    <w:rsid w:val="0090340F"/>
    <w:rsid w:val="00995261"/>
    <w:rsid w:val="00B0799D"/>
    <w:rsid w:val="00C44A1C"/>
    <w:rsid w:val="00C50049"/>
    <w:rsid w:val="00C64A99"/>
    <w:rsid w:val="00CB31D5"/>
    <w:rsid w:val="00D231D6"/>
    <w:rsid w:val="00E8352D"/>
    <w:rsid w:val="00F97F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04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C50049"/>
    <w:rPr>
      <w:color w:val="0000FF"/>
      <w:u w:val="single"/>
    </w:rPr>
  </w:style>
  <w:style w:type="paragraph" w:styleId="BalloonText">
    <w:name w:val="Balloon Text"/>
    <w:basedOn w:val="Normal"/>
    <w:link w:val="BalloonTextChar"/>
    <w:uiPriority w:val="99"/>
    <w:semiHidden/>
    <w:unhideWhenUsed/>
    <w:rsid w:val="00C5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294353">
      <w:bodyDiv w:val="1"/>
      <w:marLeft w:val="0"/>
      <w:marRight w:val="0"/>
      <w:marTop w:val="0"/>
      <w:marBottom w:val="0"/>
      <w:divBdr>
        <w:top w:val="none" w:sz="0" w:space="0" w:color="auto"/>
        <w:left w:val="none" w:sz="0" w:space="0" w:color="auto"/>
        <w:bottom w:val="none" w:sz="0" w:space="0" w:color="auto"/>
        <w:right w:val="none" w:sz="0" w:space="0" w:color="auto"/>
      </w:divBdr>
      <w:divsChild>
        <w:div w:id="638610118">
          <w:marLeft w:val="0"/>
          <w:marRight w:val="0"/>
          <w:marTop w:val="0"/>
          <w:marBottom w:val="0"/>
          <w:divBdr>
            <w:top w:val="none" w:sz="0" w:space="0" w:color="auto"/>
            <w:left w:val="none" w:sz="0" w:space="0" w:color="auto"/>
            <w:bottom w:val="none" w:sz="0" w:space="0" w:color="auto"/>
            <w:right w:val="none" w:sz="0" w:space="0" w:color="auto"/>
          </w:divBdr>
          <w:divsChild>
            <w:div w:id="1162507086">
              <w:marLeft w:val="0"/>
              <w:marRight w:val="0"/>
              <w:marTop w:val="0"/>
              <w:marBottom w:val="0"/>
              <w:divBdr>
                <w:top w:val="single" w:sz="12" w:space="0" w:color="F89B1A"/>
                <w:left w:val="single" w:sz="6" w:space="0" w:color="C8D4DB"/>
                <w:bottom w:val="none" w:sz="0" w:space="0" w:color="auto"/>
                <w:right w:val="single" w:sz="6" w:space="0" w:color="C8D4DB"/>
              </w:divBdr>
              <w:divsChild>
                <w:div w:id="696274367">
                  <w:marLeft w:val="0"/>
                  <w:marRight w:val="0"/>
                  <w:marTop w:val="0"/>
                  <w:marBottom w:val="0"/>
                  <w:divBdr>
                    <w:top w:val="none" w:sz="0" w:space="0" w:color="auto"/>
                    <w:left w:val="none" w:sz="0" w:space="0" w:color="auto"/>
                    <w:bottom w:val="none" w:sz="0" w:space="0" w:color="auto"/>
                    <w:right w:val="none" w:sz="0" w:space="0" w:color="auto"/>
                  </w:divBdr>
                  <w:divsChild>
                    <w:div w:id="2111926424">
                      <w:marLeft w:val="0"/>
                      <w:marRight w:val="0"/>
                      <w:marTop w:val="0"/>
                      <w:marBottom w:val="0"/>
                      <w:divBdr>
                        <w:top w:val="none" w:sz="0" w:space="0" w:color="auto"/>
                        <w:left w:val="none" w:sz="0" w:space="0" w:color="auto"/>
                        <w:bottom w:val="none" w:sz="0" w:space="0" w:color="auto"/>
                        <w:right w:val="none" w:sz="0" w:space="0" w:color="auto"/>
                      </w:divBdr>
                      <w:divsChild>
                        <w:div w:id="666520559">
                          <w:marLeft w:val="0"/>
                          <w:marRight w:val="225"/>
                          <w:marTop w:val="0"/>
                          <w:marBottom w:val="0"/>
                          <w:divBdr>
                            <w:top w:val="none" w:sz="0" w:space="0" w:color="auto"/>
                            <w:left w:val="none" w:sz="0" w:space="0" w:color="auto"/>
                            <w:bottom w:val="none" w:sz="0" w:space="0" w:color="auto"/>
                            <w:right w:val="none" w:sz="0" w:space="0" w:color="auto"/>
                          </w:divBdr>
                          <w:divsChild>
                            <w:div w:id="745422236">
                              <w:marLeft w:val="0"/>
                              <w:marRight w:val="0"/>
                              <w:marTop w:val="0"/>
                              <w:marBottom w:val="0"/>
                              <w:divBdr>
                                <w:top w:val="none" w:sz="0" w:space="0" w:color="auto"/>
                                <w:left w:val="none" w:sz="0" w:space="0" w:color="auto"/>
                                <w:bottom w:val="none" w:sz="0" w:space="0" w:color="auto"/>
                                <w:right w:val="none" w:sz="0" w:space="0" w:color="auto"/>
                              </w:divBdr>
                              <w:divsChild>
                                <w:div w:id="684357805">
                                  <w:marLeft w:val="0"/>
                                  <w:marRight w:val="0"/>
                                  <w:marTop w:val="0"/>
                                  <w:marBottom w:val="0"/>
                                  <w:divBdr>
                                    <w:top w:val="none" w:sz="0" w:space="0" w:color="auto"/>
                                    <w:left w:val="none" w:sz="0" w:space="0" w:color="auto"/>
                                    <w:bottom w:val="none" w:sz="0" w:space="0" w:color="auto"/>
                                    <w:right w:val="none" w:sz="0" w:space="0" w:color="auto"/>
                                  </w:divBdr>
                                  <w:divsChild>
                                    <w:div w:id="936597738">
                                      <w:marLeft w:val="0"/>
                                      <w:marRight w:val="0"/>
                                      <w:marTop w:val="0"/>
                                      <w:marBottom w:val="0"/>
                                      <w:divBdr>
                                        <w:top w:val="none" w:sz="0" w:space="0" w:color="auto"/>
                                        <w:left w:val="none" w:sz="0" w:space="0" w:color="auto"/>
                                        <w:bottom w:val="none" w:sz="0" w:space="0" w:color="auto"/>
                                        <w:right w:val="none" w:sz="0" w:space="0" w:color="auto"/>
                                      </w:divBdr>
                                      <w:divsChild>
                                        <w:div w:id="16050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300">
                          <w:marLeft w:val="0"/>
                          <w:marRight w:val="0"/>
                          <w:marTop w:val="150"/>
                          <w:marBottom w:val="0"/>
                          <w:divBdr>
                            <w:top w:val="none" w:sz="0" w:space="0" w:color="auto"/>
                            <w:left w:val="none" w:sz="0" w:space="0" w:color="auto"/>
                            <w:bottom w:val="none" w:sz="0" w:space="0" w:color="auto"/>
                            <w:right w:val="none" w:sz="0" w:space="0" w:color="auto"/>
                          </w:divBdr>
                          <w:divsChild>
                            <w:div w:id="1023628201">
                              <w:marLeft w:val="0"/>
                              <w:marRight w:val="0"/>
                              <w:marTop w:val="0"/>
                              <w:marBottom w:val="0"/>
                              <w:divBdr>
                                <w:top w:val="single" w:sz="2" w:space="0" w:color="BDC8D5"/>
                                <w:left w:val="single" w:sz="2" w:space="0" w:color="BDC8D5"/>
                                <w:bottom w:val="single" w:sz="2" w:space="8" w:color="BDC8D5"/>
                                <w:right w:val="single" w:sz="2" w:space="0" w:color="BDC8D5"/>
                              </w:divBdr>
                              <w:divsChild>
                                <w:div w:id="5415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1024</Words>
  <Characters>5843</Characters>
  <Application>Microsoft Office Word</Application>
  <DocSecurity>0</DocSecurity>
  <Lines>48</Lines>
  <Paragraphs>13</Paragraphs>
  <ScaleCrop>false</ScaleCrop>
  <Company>Microsoft</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2020-10-15T03:39:00Z</dcterms:created>
  <dcterms:modified xsi:type="dcterms:W3CDTF">2020-10-15T03:43:00Z</dcterms:modified>
</cp:coreProperties>
</file>