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42934BCA" w:rsidR="003F763D" w:rsidRPr="00655C33" w:rsidRDefault="00655C33" w:rsidP="00377A7D">
            <w:pPr>
              <w:spacing w:before="40" w:after="40" w:line="240" w:lineRule="auto"/>
              <w:rPr>
                <w:rFonts w:ascii="Times New Roman" w:hAnsi="Times New Roman" w:cs="Times New Roman"/>
                <w:b/>
                <w:bCs/>
                <w:sz w:val="26"/>
                <w:lang w:val="en-US"/>
              </w:rPr>
            </w:pPr>
            <w:r w:rsidRPr="00655C33">
              <w:rPr>
                <w:rFonts w:ascii="Times New Roman" w:hAnsi="Times New Roman" w:cs="Times New Roman"/>
                <w:b/>
                <w:bCs/>
                <w:sz w:val="26"/>
                <w:lang w:val="en-US"/>
              </w:rPr>
              <w:t>ỦY BAN NHÂN DÂN</w:t>
            </w:r>
          </w:p>
          <w:p w14:paraId="5AA353C4" w14:textId="5F86066C" w:rsidR="00655C33" w:rsidRPr="00655C33" w:rsidRDefault="00655C33" w:rsidP="00377A7D">
            <w:pPr>
              <w:spacing w:before="40" w:after="40" w:line="240" w:lineRule="auto"/>
              <w:rPr>
                <w:rFonts w:ascii="Times New Roman" w:hAnsi="Times New Roman" w:cs="Times New Roman"/>
                <w:b/>
                <w:bCs/>
                <w:sz w:val="26"/>
                <w:lang w:val="en-US"/>
              </w:rPr>
            </w:pPr>
            <w:r>
              <w:rPr>
                <w:rFonts w:ascii="Times New Roman" w:hAnsi="Times New Roman" w:cs="Times New Roman"/>
                <w:b/>
                <w:bCs/>
                <w:sz w:val="26"/>
                <w:lang w:val="en-US"/>
              </w:rPr>
              <w:t xml:space="preserve">         </w:t>
            </w:r>
            <w:r w:rsidRPr="00655C33">
              <w:rPr>
                <w:rFonts w:ascii="Times New Roman" w:hAnsi="Times New Roman" w:cs="Times New Roman"/>
                <w:b/>
                <w:bCs/>
                <w:sz w:val="26"/>
                <w:lang w:val="en-US"/>
              </w:rPr>
              <w:t>XÃ KỲ LẠC</w:t>
            </w:r>
          </w:p>
          <w:p w14:paraId="0AFB89A8" w14:textId="77777777" w:rsidR="003F763D" w:rsidRPr="00655C33" w:rsidRDefault="003F763D" w:rsidP="00377A7D">
            <w:pPr>
              <w:spacing w:before="40" w:after="40" w:line="240" w:lineRule="auto"/>
              <w:jc w:val="center"/>
              <w:rPr>
                <w:rFonts w:ascii="Times New Roman" w:hAnsi="Times New Roman" w:cs="Times New Roman"/>
                <w:b/>
                <w:bCs/>
              </w:rPr>
            </w:pPr>
            <w:r w:rsidRPr="00655C33">
              <w:rPr>
                <w:rFonts w:ascii="Times New Roman" w:hAnsi="Times New Roman" w:cs="Times New Roman"/>
                <w:b/>
                <w:bCs/>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395F0E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0C2289C"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lastRenderedPageBreak/>
        <w:t>Số lượng cấp phó của người đứng đầu vụ, cục, thanh tra, văn phòng thuộc tổng cục thuộc bộ</w:t>
      </w:r>
    </w:p>
    <w:p w14:paraId="5DADBA1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8B70C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 xml:space="preserve">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w:t>
      </w:r>
      <w:r w:rsidRPr="00824364">
        <w:rPr>
          <w:rFonts w:ascii="Times New Roman" w:hAnsi="Times New Roman" w:cs="Times New Roman"/>
          <w:sz w:val="28"/>
          <w:szCs w:val="28"/>
        </w:rPr>
        <w:lastRenderedPageBreak/>
        <w:t>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1EB18AFF" w14:textId="77777777" w:rsidR="00343467"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43467">
      <w:pPr>
        <w:spacing w:after="0"/>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lastRenderedPageBreak/>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43467">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75101B67"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8"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05F82F7D"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hyperlink r:id="rId9"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10"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B06B4A">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lastRenderedPageBreak/>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30819A0C" w14:textId="6A9B882D"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lang w:val="en-US"/>
        </w:rPr>
      </w:pPr>
      <w:proofErr w:type="spellStart"/>
      <w:r w:rsidRPr="00165CD0">
        <w:rPr>
          <w:rFonts w:ascii="Times New Roman" w:hAnsi="Times New Roman" w:cs="Times New Roman"/>
          <w:color w:val="000000" w:themeColor="text1"/>
          <w:sz w:val="28"/>
          <w:szCs w:val="28"/>
          <w:lang w:val="en-US"/>
        </w:rPr>
        <w:lastRenderedPageBreak/>
        <w:t>Phòng</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Phân</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tích</w:t>
      </w:r>
      <w:proofErr w:type="spellEnd"/>
      <w:r w:rsidRPr="00165CD0">
        <w:rPr>
          <w:rFonts w:ascii="Times New Roman" w:hAnsi="Times New Roman" w:cs="Times New Roman"/>
          <w:color w:val="000000" w:themeColor="text1"/>
          <w:sz w:val="28"/>
          <w:szCs w:val="28"/>
          <w:lang w:val="en-US"/>
        </w:rPr>
        <w:t>.</w:t>
      </w:r>
    </w:p>
    <w:p w14:paraId="1C15C26A" w14:textId="3947DF20" w:rsidR="00B06B4A" w:rsidRPr="00165CD0" w:rsidRDefault="00165CD0" w:rsidP="00165CD0">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1"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2"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 Tiêu chuẩn, điều kiện xét thăng hạng lên chức danh Bác sĩ chính (hạng II), Bác sĩ y học dự phòng chính (hạng II), Y tế công cộng chính (hạng II), Dược </w:t>
      </w:r>
      <w:r w:rsidRPr="008A7BCD">
        <w:rPr>
          <w:rFonts w:ascii="Times New Roman" w:hAnsi="Times New Roman" w:cs="Times New Roman"/>
          <w:sz w:val="28"/>
          <w:szCs w:val="28"/>
        </w:rPr>
        <w:lastRenderedPageBreak/>
        <w:t>sĩ chính (hạng II), Điều dưỡng hạng II, Hộ sinh hạng II, Kỹ thuật y hạng II, Dinh dưỡng hạng II, Dân số viên hạng II.</w:t>
      </w:r>
    </w:p>
    <w:p w14:paraId="6637DBE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Đạt danh hiệu “Thầy thuốc nhân dân”;</w:t>
      </w:r>
    </w:p>
    <w:p w14:paraId="40720217"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Đạt danh hiệu Chiến sĩ thi đua toàn quốc;</w:t>
      </w:r>
    </w:p>
    <w:p w14:paraId="70C6FA34"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Được khen thưởng Huân chương Lao động hạng Nhì trở lên;</w:t>
      </w:r>
    </w:p>
    <w:p w14:paraId="1C799288"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Chủ nhiệm hoặc thành viên tham gia chính ít nhất 01 nhiệm vụ khoa học và công nghệ từ cấp bộ, cấp tỉnh trở lên và nhiệm vụ khoa học và công nghệ này phải được nghiệm thu từ mức đạt trở lên;</w:t>
      </w:r>
    </w:p>
    <w:p w14:paraId="7EF725C6"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Chủ trì hoặc thành viên tham gia chính ít nhất 01 đề án hoặc 01 hướng dẫn, quy trình chuyên môn kỹ thuật trong lĩnh vực công tác được cấp bộ, cấp tỉnh ban hành;</w:t>
      </w:r>
    </w:p>
    <w:p w14:paraId="6A7109E0" w14:textId="77777777" w:rsidR="008A7BCD" w:rsidRPr="00655C33" w:rsidRDefault="008A7BCD" w:rsidP="008A7BCD">
      <w:pPr>
        <w:spacing w:after="0"/>
        <w:ind w:firstLine="720"/>
        <w:jc w:val="both"/>
        <w:rPr>
          <w:rFonts w:ascii="Times New Roman" w:hAnsi="Times New Roman" w:cs="Times New Roman"/>
          <w:sz w:val="28"/>
          <w:szCs w:val="28"/>
        </w:rPr>
      </w:pPr>
      <w:r w:rsidRPr="00655C33">
        <w:rPr>
          <w:rFonts w:ascii="Times New Roman" w:hAnsi="Times New Roman" w:cs="Times New Roman"/>
          <w:sz w:val="28"/>
          <w:szCs w:val="28"/>
        </w:rPr>
        <w:t>- Chủ nhiệm ít nhất 03 nhiệm vụ khoa học và công nghệ từ cấp cơ sở trở lên và nhiệm vụ khoa học và công nghệ này phải được nghiệm thu từ mức đạt trở lên...</w:t>
      </w:r>
    </w:p>
    <w:p w14:paraId="16ECE16D" w14:textId="703CD471"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9E124D">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lastRenderedPageBreak/>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 được quy định như sau:</w:t>
      </w:r>
    </w:p>
    <w:p w14:paraId="254B0D0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3"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4"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8A7BCD">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lastRenderedPageBreak/>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102169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5"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6"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0506DEF" w14:textId="77777777" w:rsidR="005A5D32" w:rsidRPr="005A5D32" w:rsidRDefault="005A5D32" w:rsidP="005A5D3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w:t>
      </w:r>
      <w:r w:rsidRPr="005A5D32">
        <w:rPr>
          <w:rFonts w:ascii="Times New Roman" w:hAnsi="Times New Roman" w:cs="Times New Roman"/>
          <w:sz w:val="28"/>
          <w:szCs w:val="28"/>
        </w:rPr>
        <w:lastRenderedPageBreak/>
        <w:t>án giá cập nhật quý III hoặc kế hoạch cung cấp điện và vận hành hệ thống điện quốc gia năm N được cập nhật;</w:t>
      </w:r>
    </w:p>
    <w:p w14:paraId="1DC1002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21FBD0C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77DF294F" w14:textId="54FCCBDB"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lastRenderedPageBreak/>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5A5D3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5A5D3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504374">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07C55E03" w14:textId="688FC9EA"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7708D212" w:rsidR="005A5D32" w:rsidRPr="005A5D32" w:rsidRDefault="00504374" w:rsidP="00504374">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Thông tư này có hiệu lực thi hành từ ngày 20/9/2024</w:t>
      </w: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72EAE9EA" w:rsidR="003F763D" w:rsidRPr="00655C33"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655C33" w:rsidRPr="00655C33">
        <w:rPr>
          <w:rFonts w:ascii="Times New Roman" w:hAnsi="Times New Roman" w:cs="Times New Roman"/>
          <w:b/>
          <w:sz w:val="28"/>
          <w:szCs w:val="28"/>
        </w:rPr>
        <w:t>ỦY BAN NHÂN DÂN XÃ KỲ LẠC</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7"/>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1303" w14:textId="77777777" w:rsidR="000234E7" w:rsidRDefault="000234E7" w:rsidP="007137D4">
      <w:pPr>
        <w:spacing w:after="0" w:line="240" w:lineRule="auto"/>
      </w:pPr>
      <w:r>
        <w:separator/>
      </w:r>
    </w:p>
  </w:endnote>
  <w:endnote w:type="continuationSeparator" w:id="0">
    <w:p w14:paraId="031AC0CF" w14:textId="77777777" w:rsidR="000234E7" w:rsidRDefault="000234E7"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B401" w14:textId="77777777" w:rsidR="000234E7" w:rsidRDefault="000234E7" w:rsidP="007137D4">
      <w:pPr>
        <w:spacing w:after="0" w:line="240" w:lineRule="auto"/>
      </w:pPr>
      <w:r>
        <w:separator/>
      </w:r>
    </w:p>
  </w:footnote>
  <w:footnote w:type="continuationSeparator" w:id="0">
    <w:p w14:paraId="6A534371" w14:textId="77777777" w:rsidR="000234E7" w:rsidRDefault="000234E7"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17"/>
  </w:num>
  <w:num w:numId="2" w16cid:durableId="337585185">
    <w:abstractNumId w:val="42"/>
    <w:lvlOverride w:ilvl="0">
      <w:startOverride w:val="2"/>
    </w:lvlOverride>
  </w:num>
  <w:num w:numId="3" w16cid:durableId="2131632349">
    <w:abstractNumId w:val="23"/>
    <w:lvlOverride w:ilvl="0">
      <w:startOverride w:val="3"/>
    </w:lvlOverride>
  </w:num>
  <w:num w:numId="4" w16cid:durableId="2018579773">
    <w:abstractNumId w:val="15"/>
    <w:lvlOverride w:ilvl="0">
      <w:startOverride w:val="4"/>
    </w:lvlOverride>
  </w:num>
  <w:num w:numId="5" w16cid:durableId="745881374">
    <w:abstractNumId w:val="14"/>
    <w:lvlOverride w:ilvl="0">
      <w:startOverride w:val="5"/>
    </w:lvlOverride>
  </w:num>
  <w:num w:numId="6" w16cid:durableId="1350332041">
    <w:abstractNumId w:val="27"/>
    <w:lvlOverride w:ilvl="0">
      <w:startOverride w:val="6"/>
    </w:lvlOverride>
  </w:num>
  <w:num w:numId="7" w16cid:durableId="1101953893">
    <w:abstractNumId w:val="29"/>
    <w:lvlOverride w:ilvl="0">
      <w:startOverride w:val="7"/>
    </w:lvlOverride>
  </w:num>
  <w:num w:numId="8" w16cid:durableId="1167403505">
    <w:abstractNumId w:val="30"/>
    <w:lvlOverride w:ilvl="0">
      <w:startOverride w:val="8"/>
    </w:lvlOverride>
  </w:num>
  <w:num w:numId="9" w16cid:durableId="1391416566">
    <w:abstractNumId w:val="28"/>
    <w:lvlOverride w:ilvl="0">
      <w:startOverride w:val="9"/>
    </w:lvlOverride>
  </w:num>
  <w:num w:numId="10" w16cid:durableId="32389044">
    <w:abstractNumId w:val="1"/>
  </w:num>
  <w:num w:numId="11" w16cid:durableId="534000003">
    <w:abstractNumId w:val="31"/>
  </w:num>
  <w:num w:numId="12" w16cid:durableId="513500608">
    <w:abstractNumId w:val="12"/>
  </w:num>
  <w:num w:numId="13" w16cid:durableId="249702164">
    <w:abstractNumId w:val="24"/>
  </w:num>
  <w:num w:numId="14" w16cid:durableId="1549993952">
    <w:abstractNumId w:val="11"/>
  </w:num>
  <w:num w:numId="15" w16cid:durableId="540485208">
    <w:abstractNumId w:val="21"/>
  </w:num>
  <w:num w:numId="16" w16cid:durableId="1975523578">
    <w:abstractNumId w:val="16"/>
  </w:num>
  <w:num w:numId="17" w16cid:durableId="1165701943">
    <w:abstractNumId w:val="20"/>
  </w:num>
  <w:num w:numId="18" w16cid:durableId="237711149">
    <w:abstractNumId w:val="3"/>
  </w:num>
  <w:num w:numId="19" w16cid:durableId="1588731075">
    <w:abstractNumId w:val="10"/>
  </w:num>
  <w:num w:numId="20" w16cid:durableId="1922524521">
    <w:abstractNumId w:val="39"/>
  </w:num>
  <w:num w:numId="21" w16cid:durableId="1678539421">
    <w:abstractNumId w:val="0"/>
  </w:num>
  <w:num w:numId="22" w16cid:durableId="1980647596">
    <w:abstractNumId w:val="26"/>
  </w:num>
  <w:num w:numId="23" w16cid:durableId="821233761">
    <w:abstractNumId w:val="22"/>
  </w:num>
  <w:num w:numId="24" w16cid:durableId="379481994">
    <w:abstractNumId w:val="7"/>
  </w:num>
  <w:num w:numId="25" w16cid:durableId="813835165">
    <w:abstractNumId w:val="37"/>
  </w:num>
  <w:num w:numId="26" w16cid:durableId="442725902">
    <w:abstractNumId w:val="6"/>
  </w:num>
  <w:num w:numId="27" w16cid:durableId="756512966">
    <w:abstractNumId w:val="43"/>
  </w:num>
  <w:num w:numId="28" w16cid:durableId="302123382">
    <w:abstractNumId w:val="19"/>
  </w:num>
  <w:num w:numId="29" w16cid:durableId="1629318415">
    <w:abstractNumId w:val="35"/>
  </w:num>
  <w:num w:numId="30" w16cid:durableId="1052579504">
    <w:abstractNumId w:val="36"/>
  </w:num>
  <w:num w:numId="31" w16cid:durableId="583219736">
    <w:abstractNumId w:val="25"/>
  </w:num>
  <w:num w:numId="32" w16cid:durableId="1251429">
    <w:abstractNumId w:val="32"/>
  </w:num>
  <w:num w:numId="33" w16cid:durableId="972371644">
    <w:abstractNumId w:val="18"/>
  </w:num>
  <w:num w:numId="34" w16cid:durableId="166092169">
    <w:abstractNumId w:val="41"/>
  </w:num>
  <w:num w:numId="35" w16cid:durableId="1653749783">
    <w:abstractNumId w:val="40"/>
  </w:num>
  <w:num w:numId="36" w16cid:durableId="919220445">
    <w:abstractNumId w:val="5"/>
  </w:num>
  <w:num w:numId="37" w16cid:durableId="1188179462">
    <w:abstractNumId w:val="34"/>
  </w:num>
  <w:num w:numId="38" w16cid:durableId="149640096">
    <w:abstractNumId w:val="38"/>
  </w:num>
  <w:num w:numId="39" w16cid:durableId="691804963">
    <w:abstractNumId w:val="9"/>
  </w:num>
  <w:num w:numId="40" w16cid:durableId="282158815">
    <w:abstractNumId w:val="44"/>
  </w:num>
  <w:num w:numId="41" w16cid:durableId="419253262">
    <w:abstractNumId w:val="4"/>
  </w:num>
  <w:num w:numId="42" w16cid:durableId="1628395648">
    <w:abstractNumId w:val="2"/>
  </w:num>
  <w:num w:numId="43" w16cid:durableId="1669672902">
    <w:abstractNumId w:val="8"/>
  </w:num>
  <w:num w:numId="44" w16cid:durableId="2135056609">
    <w:abstractNumId w:val="13"/>
  </w:num>
  <w:num w:numId="45" w16cid:durableId="16308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234E7"/>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0CDF"/>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5C33"/>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Chan-nuoi-2018-353242.aspx" TargetMode="External"/><Relationship Id="rId13" Type="http://schemas.openxmlformats.org/officeDocument/2006/relationships/hyperlink" Target="https://thuvienphapluat.vn/van-ban/Bo-may-hanh-chinh/Luat-quoc-phong-340395.asp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Bo-Luat-lao-dong-2019-33367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Doanh-nghiep/Nghi-quyet-02-NQ-CP-2013-giai-phap-thao-go-kho-khan-san-xuat-kinh-doanh-ho-tro-thi-truong-no-xau-163775.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Bo-Luat-lao-dong-2019-333670.aspx" TargetMode="External"/><Relationship Id="rId5" Type="http://schemas.openxmlformats.org/officeDocument/2006/relationships/webSettings" Target="webSettings.xml"/><Relationship Id="rId15" Type="http://schemas.openxmlformats.org/officeDocument/2006/relationships/hyperlink" Target="https://thuvienphapluat.vn/van-ban/Van-hoa-Xa-hoi/Nghi-quyet-30a-2008-NQ-CP-chuong-trinh-ho-tro-giam-ngheo-nhanh-va-ben-vung-doi-voi-61-huyen-ngheo-83914.aspx" TargetMode="External"/><Relationship Id="rId10" Type="http://schemas.openxmlformats.org/officeDocument/2006/relationships/hyperlink" Target="https://thuvienphapluat.vn/van-ban/Bo-may-hanh-chinh/Quyet-dinh-1002-QD-BGTVT-2024-cong-bo-thu-tuc-hanh-chinh-linh-vuc-dang-kiem-621379.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Quyet-dinh-1002-QD-BGTVT-2024-cong-bo-thu-tuc-hanh-chinh-linh-vuc-dang-kiem-621379.aspx" TargetMode="External"/><Relationship Id="rId14" Type="http://schemas.openxmlformats.org/officeDocument/2006/relationships/hyperlink" Target="https://thuvienphapluat.vn/van-ban/Bo-may-hanh-chinh/Luat-Phong-thu-dan-su-2023-so-18-2023-QH15-5193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2024-09-04T02:13:00Z</dcterms:created>
  <dcterms:modified xsi:type="dcterms:W3CDTF">2024-09-04T02:13:00Z</dcterms:modified>
</cp:coreProperties>
</file>