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6207C" w14:textId="77777777" w:rsidR="0013696A" w:rsidRPr="004E16B6" w:rsidRDefault="0013696A" w:rsidP="004E16B6">
      <w:pPr>
        <w:spacing w:after="0" w:line="240" w:lineRule="auto"/>
        <w:jc w:val="right"/>
        <w:rPr>
          <w:rFonts w:eastAsia="Times New Roman" w:cs="Times New Roman"/>
          <w:b/>
          <w:bCs/>
          <w:sz w:val="24"/>
          <w:szCs w:val="24"/>
          <w:u w:val="single"/>
        </w:rPr>
      </w:pPr>
      <w:r w:rsidRPr="004E16B6">
        <w:rPr>
          <w:rFonts w:eastAsia="Times New Roman" w:cs="Times New Roman"/>
          <w:b/>
          <w:bCs/>
          <w:sz w:val="24"/>
          <w:szCs w:val="24"/>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4E16B6" w14:paraId="6861A5D0"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DF93FAA"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3E0C3819" w14:textId="13EA0940" w:rsidR="0013696A" w:rsidRPr="004E16B6" w:rsidRDefault="0013696A" w:rsidP="00DB1265">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4F5335C3" wp14:editId="464258D9">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F291F8"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C8mTcW3AAAAAgBAAAPAAAAZHJzL2Rvd25yZXYu&#10;eG1sTI/BTsMwEETvSPyDtUhcEHViiYiEOFWFxIEjbaVe3XhJ0sbrKHaa0K9nEQc47sxo9k25Xlwv&#10;LjiGzpOGdJWAQKq97ajRsN+9PT6DCNGQNb0n1PCFAdbV7U1pCutn+sDLNjaCSygURkMb41BIGeoW&#10;nQkrPyCx9+lHZyKfYyPtaGYud71USZJJZzriD60Z8LXF+rydnAYM01OabHLX7N+v88NBXU/zsNP6&#10;/m7ZvICIuMS/MPzgMzpUzHT0E9kgeg25SjmpQeU8iX2VZhmI468gq1L+H1B9AwAA//8DAFBLAQIt&#10;ABQABgAIAAAAIQC2gziS/gAAAOEBAAATAAAAAAAAAAAAAAAAAAAAAABbQ29udGVudF9UeXBlc10u&#10;eG1sUEsBAi0AFAAGAAgAAAAhADj9If/WAAAAlAEAAAsAAAAAAAAAAAAAAAAALwEAAF9yZWxzLy5y&#10;ZWxzUEsBAi0AFAAGAAgAAAAhAKlZW6u3AQAAVQMAAA4AAAAAAAAAAAAAAAAALgIAAGRycy9lMm9E&#10;b2MueG1sUEsBAi0AFAAGAAgAAAAhALyZNxbcAAAACAEAAA8AAAAAAAAAAAAAAAAAEQQAAGRycy9k&#10;b3ducmV2LnhtbFBLBQYAAAAABAAEAPMAAAAaBQAAAAA=&#10;"/>
                  </w:pict>
                </mc:Fallback>
              </mc:AlternateContent>
            </w:r>
            <w:r w:rsidRPr="004E16B6">
              <w:rPr>
                <w:rFonts w:eastAsia="Times New Roman" w:cs="Times New Roman"/>
                <w:b/>
                <w:bCs/>
                <w:sz w:val="24"/>
                <w:szCs w:val="24"/>
                <w:lang w:val="vi-VN"/>
              </w:rPr>
              <w:t>XÃ</w:t>
            </w:r>
            <w:r w:rsidR="00BA186B">
              <w:rPr>
                <w:rFonts w:eastAsia="Times New Roman" w:cs="Times New Roman"/>
                <w:b/>
                <w:bCs/>
                <w:sz w:val="24"/>
                <w:szCs w:val="24"/>
              </w:rPr>
              <w:t xml:space="preserve"> KỲ </w:t>
            </w:r>
            <w:r w:rsidR="003F35E0">
              <w:rPr>
                <w:rFonts w:eastAsia="Times New Roman" w:cs="Times New Roman"/>
                <w:b/>
                <w:bCs/>
                <w:sz w:val="24"/>
                <w:szCs w:val="24"/>
              </w:rPr>
              <w:t>LẠC</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75D0DAAA"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7A5762F5" wp14:editId="057C40F3">
                      <wp:simplePos x="0" y="0"/>
                      <wp:positionH relativeFrom="column">
                        <wp:posOffset>1120355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EF3AE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29.25pt" to="229.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UmQEAAJQDAAAOAAAAZHJzL2Uyb0RvYy54bWysU01v2zAMvQ/ofxB0b+z0UBRGnB5arJdi&#10;LfbxA1SZigVIokBpsfPvRymJM2wDig3zQZYsvke+R3pzP3sn9kDJYujletVKAUHjYMOul9++fry+&#10;kyJlFQblMEAvD5Dk/fbqw2aKHdzgiG4AEkwSUjfFXo45x65pkh7Bq7TCCIEvDZJXmY+0awZSE7N7&#10;19y07W0zIQ2RUENK/PXxeCm3ld8Y0PnFmARZuF5ybbmuVNe3sjbbjep2pOJo9akM9Q9VeGUDJ12o&#10;HlVW4jvZ36i81YQJTV5p9A0aYzVUDaxm3f6i5suoIlQtbE6Ki03p/9HqT/uH8EpswxRTl+IrFRWz&#10;IV/eXJ+Yq1mHxSyYs9D8cX3XlkcKfb5rLsBIKT8BelE2vXQ2FB2qU/vnlDkZh55D+HBJXXf54KAE&#10;u/AZjLBDSVbRdSrgwZHYK+6n0hpCXpceMl+NLjBjnVuA7fvAU3yBQp2YvwEviJoZQ17A3gakP2XP&#10;87lkc4w/O3DUXSx4w+FQm1Kt4dZXhacxLbP187nCLz/T9gcAAAD//wMAUEsDBBQABgAIAAAAIQBu&#10;zgIW3wAAAAkBAAAPAAAAZHJzL2Rvd25yZXYueG1sTI/BToNAEIbvJr7DZky8GLtooFJkadSk6cEa&#10;Y/EBtuwIRHaWsAulPr1jPOjxn/nyzzf5eradmHDwrSMFN4sIBFLlTEu1gvdyc52C8EGT0Z0jVHBC&#10;D+vi/CzXmXFHesNpH2rBJeQzraAJoc+k9FWDVvuF65F49+EGqwPHoZZm0Ecut528jaKltLolvtDo&#10;Hp8arD73o1Ww3Tzic3Ia69gk2/JqKncvX6+pUpcX88M9iIBz+IPhR5/VoWCngxvJeNFxvlvGjCpI&#10;0gQEA3GyWoE4/A5kkcv/HxTfAAAA//8DAFBLAQItABQABgAIAAAAIQC2gziS/gAAAOEBAAATAAAA&#10;AAAAAAAAAAAAAAAAAABbQ29udGVudF9UeXBlc10ueG1sUEsBAi0AFAAGAAgAAAAhADj9If/WAAAA&#10;lAEAAAsAAAAAAAAAAAAAAAAALwEAAF9yZWxzLy5yZWxzUEsBAi0AFAAGAAgAAAAhACCJVZSZAQAA&#10;lAMAAA4AAAAAAAAAAAAAAAAALgIAAGRycy9lMm9Eb2MueG1sUEsBAi0AFAAGAAgAAAAhAG7OAhbf&#10;AAAACQEAAA8AAAAAAAAAAAAAAAAA8wMAAGRycy9kb3ducmV2LnhtbFBLBQYAAAAABAAEAPMAAAD/&#10;BA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520480AB"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52318B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E7823DC" w14:textId="77C12176" w:rsidR="0013696A" w:rsidRPr="004E16B6" w:rsidRDefault="00BA186B" w:rsidP="005D49AB">
            <w:pPr>
              <w:spacing w:after="0" w:line="240" w:lineRule="auto"/>
              <w:jc w:val="center"/>
              <w:rPr>
                <w:rFonts w:eastAsia="Times New Roman" w:cs="Times New Roman"/>
                <w:sz w:val="24"/>
                <w:szCs w:val="24"/>
              </w:rPr>
            </w:pPr>
            <w:r>
              <w:rPr>
                <w:rFonts w:eastAsia="Times New Roman" w:cs="Times New Roman"/>
                <w:i/>
                <w:iCs/>
                <w:sz w:val="24"/>
                <w:szCs w:val="24"/>
              </w:rPr>
              <w:t xml:space="preserve">Kỳ </w:t>
            </w:r>
            <w:r w:rsidR="003F35E0">
              <w:rPr>
                <w:rFonts w:eastAsia="Times New Roman" w:cs="Times New Roman"/>
                <w:i/>
                <w:iCs/>
                <w:sz w:val="24"/>
                <w:szCs w:val="24"/>
              </w:rPr>
              <w:t>Lạc</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373D2F">
              <w:rPr>
                <w:rFonts w:eastAsia="Times New Roman" w:cs="Times New Roman"/>
                <w:i/>
                <w:iCs/>
                <w:sz w:val="24"/>
                <w:szCs w:val="24"/>
                <w:lang w:val="vi-VN"/>
              </w:rPr>
              <w:t>0</w:t>
            </w:r>
            <w:r w:rsidR="003F35E0">
              <w:rPr>
                <w:rFonts w:eastAsia="Times New Roman" w:cs="Times New Roman"/>
                <w:i/>
                <w:iCs/>
                <w:sz w:val="24"/>
                <w:szCs w:val="24"/>
              </w:rPr>
              <w:t>3</w:t>
            </w:r>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813809">
              <w:rPr>
                <w:rFonts w:eastAsia="Times New Roman" w:cs="Times New Roman"/>
                <w:i/>
                <w:iCs/>
                <w:sz w:val="24"/>
                <w:szCs w:val="24"/>
              </w:rPr>
              <w:t>01</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sidR="003F35E0">
              <w:rPr>
                <w:rFonts w:eastAsia="Times New Roman" w:cs="Times New Roman"/>
                <w:i/>
                <w:iCs/>
                <w:sz w:val="24"/>
                <w:szCs w:val="24"/>
              </w:rPr>
              <w:t>5</w:t>
            </w:r>
          </w:p>
        </w:tc>
      </w:tr>
    </w:tbl>
    <w:p w14:paraId="11C9007B"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672438C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sz w:val="24"/>
          <w:szCs w:val="24"/>
          <w:lang w:val="vi-VN"/>
        </w:rPr>
        <w:t>BẢN TỔNG HỢP ĐIỂM SỐ CỦA CÁC TIÊU CHÍ, CHỈ TIÊU</w:t>
      </w:r>
    </w:p>
    <w:p w14:paraId="73A36982"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p w14:paraId="5F138F0B"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4252"/>
        <w:gridCol w:w="710"/>
        <w:gridCol w:w="1983"/>
        <w:gridCol w:w="710"/>
        <w:gridCol w:w="651"/>
        <w:gridCol w:w="946"/>
      </w:tblGrid>
      <w:tr w:rsidR="00D80414" w:rsidRPr="003F35E0" w14:paraId="7EEE526C" w14:textId="77777777" w:rsidTr="00D123B3">
        <w:trPr>
          <w:tblCellSpacing w:w="0" w:type="dxa"/>
        </w:trPr>
        <w:tc>
          <w:tcPr>
            <w:tcW w:w="294" w:type="pct"/>
            <w:vMerge w:val="restart"/>
            <w:tcBorders>
              <w:top w:val="single" w:sz="4" w:space="0" w:color="auto"/>
              <w:left w:val="single" w:sz="4" w:space="0" w:color="auto"/>
              <w:right w:val="single" w:sz="4" w:space="0" w:color="auto"/>
            </w:tcBorders>
            <w:shd w:val="clear" w:color="auto" w:fill="auto"/>
            <w:vAlign w:val="center"/>
            <w:hideMark/>
          </w:tcPr>
          <w:p w14:paraId="0C638B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63" w:type="pct"/>
            <w:vMerge w:val="restart"/>
            <w:tcBorders>
              <w:top w:val="single" w:sz="4" w:space="0" w:color="auto"/>
              <w:left w:val="single" w:sz="4" w:space="0" w:color="auto"/>
              <w:right w:val="single" w:sz="4" w:space="0" w:color="auto"/>
            </w:tcBorders>
            <w:shd w:val="clear" w:color="auto" w:fill="auto"/>
            <w:vAlign w:val="center"/>
            <w:hideMark/>
          </w:tcPr>
          <w:p w14:paraId="61F3A2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14:paraId="5AAD089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3B2FAD1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31" w:type="pct"/>
            <w:vMerge w:val="restart"/>
            <w:tcBorders>
              <w:top w:val="single" w:sz="4" w:space="0" w:color="auto"/>
              <w:left w:val="single" w:sz="4" w:space="0" w:color="auto"/>
              <w:right w:val="single" w:sz="4" w:space="0" w:color="auto"/>
            </w:tcBorders>
            <w:vAlign w:val="center"/>
          </w:tcPr>
          <w:p w14:paraId="2F1077E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81" w:type="pct"/>
            <w:vMerge w:val="restart"/>
            <w:tcBorders>
              <w:top w:val="single" w:sz="4" w:space="0" w:color="auto"/>
              <w:left w:val="single" w:sz="4" w:space="0" w:color="auto"/>
              <w:right w:val="single" w:sz="4" w:space="0" w:color="auto"/>
            </w:tcBorders>
            <w:vAlign w:val="center"/>
          </w:tcPr>
          <w:p w14:paraId="25D5321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61FD37B6" w14:textId="77777777" w:rsidTr="00D123B3">
        <w:trPr>
          <w:tblCellSpacing w:w="0" w:type="dxa"/>
        </w:trPr>
        <w:tc>
          <w:tcPr>
            <w:tcW w:w="294" w:type="pct"/>
            <w:vMerge/>
            <w:tcBorders>
              <w:left w:val="single" w:sz="4" w:space="0" w:color="auto"/>
              <w:bottom w:val="single" w:sz="4" w:space="0" w:color="auto"/>
              <w:right w:val="single" w:sz="4" w:space="0" w:color="auto"/>
            </w:tcBorders>
            <w:shd w:val="clear" w:color="auto" w:fill="auto"/>
            <w:vAlign w:val="center"/>
          </w:tcPr>
          <w:p w14:paraId="17DCE56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63" w:type="pct"/>
            <w:vMerge/>
            <w:tcBorders>
              <w:left w:val="single" w:sz="4" w:space="0" w:color="auto"/>
              <w:bottom w:val="single" w:sz="4" w:space="0" w:color="auto"/>
              <w:right w:val="single" w:sz="4" w:space="0" w:color="auto"/>
            </w:tcBorders>
            <w:shd w:val="clear" w:color="auto" w:fill="auto"/>
            <w:vAlign w:val="center"/>
          </w:tcPr>
          <w:p w14:paraId="105A91E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Merge/>
            <w:tcBorders>
              <w:left w:val="single" w:sz="4" w:space="0" w:color="auto"/>
              <w:bottom w:val="single" w:sz="4" w:space="0" w:color="auto"/>
              <w:right w:val="single" w:sz="4" w:space="0" w:color="auto"/>
            </w:tcBorders>
            <w:shd w:val="clear" w:color="auto" w:fill="auto"/>
            <w:vAlign w:val="center"/>
          </w:tcPr>
          <w:p w14:paraId="7D9BA50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009" w:type="pct"/>
            <w:tcBorders>
              <w:top w:val="single" w:sz="4" w:space="0" w:color="auto"/>
              <w:left w:val="single" w:sz="4" w:space="0" w:color="auto"/>
              <w:bottom w:val="single" w:sz="4" w:space="0" w:color="auto"/>
              <w:right w:val="single" w:sz="4" w:space="0" w:color="auto"/>
            </w:tcBorders>
            <w:vAlign w:val="center"/>
          </w:tcPr>
          <w:p w14:paraId="5715F4A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sz w:val="24"/>
                <w:szCs w:val="24"/>
                <w:lang w:val="vi-VN"/>
              </w:rPr>
              <w:t>Số liệu thực hiện</w:t>
            </w:r>
            <w:r w:rsidRPr="004E16B6">
              <w:rPr>
                <w:rFonts w:cs="Times New Roman"/>
                <w:sz w:val="24"/>
                <w:szCs w:val="24"/>
                <w:lang w:val="vi-VN"/>
              </w:rPr>
              <w:br/>
              <w:t>(1)</w:t>
            </w:r>
          </w:p>
        </w:tc>
        <w:tc>
          <w:tcPr>
            <w:tcW w:w="361" w:type="pct"/>
            <w:tcBorders>
              <w:top w:val="single" w:sz="4" w:space="0" w:color="auto"/>
              <w:left w:val="single" w:sz="4" w:space="0" w:color="auto"/>
              <w:bottom w:val="single" w:sz="4" w:space="0" w:color="auto"/>
              <w:right w:val="single" w:sz="4" w:space="0" w:color="auto"/>
            </w:tcBorders>
            <w:vAlign w:val="center"/>
          </w:tcPr>
          <w:p w14:paraId="005763B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sz w:val="24"/>
                <w:szCs w:val="24"/>
                <w:lang w:val="vi-VN"/>
              </w:rPr>
              <w:t>Tỷ lệ đạt được</w:t>
            </w:r>
            <w:r w:rsidRPr="004E16B6">
              <w:rPr>
                <w:rFonts w:cs="Times New Roman"/>
                <w:sz w:val="24"/>
                <w:szCs w:val="24"/>
                <w:lang w:val="vi-VN"/>
              </w:rPr>
              <w:br/>
              <w:t>(2)</w:t>
            </w:r>
          </w:p>
        </w:tc>
        <w:tc>
          <w:tcPr>
            <w:tcW w:w="331" w:type="pct"/>
            <w:vMerge/>
            <w:tcBorders>
              <w:left w:val="single" w:sz="4" w:space="0" w:color="auto"/>
              <w:bottom w:val="single" w:sz="4" w:space="0" w:color="auto"/>
              <w:right w:val="single" w:sz="4" w:space="0" w:color="auto"/>
            </w:tcBorders>
          </w:tcPr>
          <w:p w14:paraId="3398398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81" w:type="pct"/>
            <w:vMerge/>
            <w:tcBorders>
              <w:left w:val="single" w:sz="4" w:space="0" w:color="auto"/>
              <w:bottom w:val="single" w:sz="4" w:space="0" w:color="auto"/>
              <w:right w:val="single" w:sz="4" w:space="0" w:color="auto"/>
            </w:tcBorders>
          </w:tcPr>
          <w:p w14:paraId="71E464D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9CD51F2" w14:textId="77777777" w:rsidTr="00D123B3">
        <w:trPr>
          <w:trHeight w:val="913"/>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F36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BCB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ACFF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009" w:type="pct"/>
            <w:tcBorders>
              <w:top w:val="single" w:sz="4" w:space="0" w:color="auto"/>
              <w:left w:val="single" w:sz="4" w:space="0" w:color="auto"/>
              <w:bottom w:val="single" w:sz="4" w:space="0" w:color="auto"/>
              <w:right w:val="single" w:sz="4" w:space="0" w:color="auto"/>
            </w:tcBorders>
          </w:tcPr>
          <w:p w14:paraId="086A7502" w14:textId="77777777" w:rsidR="0013696A" w:rsidRPr="004E16B6" w:rsidRDefault="007147E5" w:rsidP="004E16B6">
            <w:pPr>
              <w:spacing w:after="0" w:line="240" w:lineRule="auto"/>
              <w:jc w:val="center"/>
              <w:rPr>
                <w:rFonts w:eastAsia="Times New Roman" w:cs="Times New Roman"/>
                <w:b/>
                <w:bCs/>
                <w:color w:val="000000"/>
                <w:sz w:val="24"/>
                <w:szCs w:val="24"/>
                <w:lang w:val="vi-VN"/>
              </w:rPr>
            </w:pPr>
            <w:r w:rsidRPr="007147E5">
              <w:rPr>
                <w:rFonts w:eastAsia="Times New Roman" w:cs="Times New Roman"/>
                <w:b/>
                <w:bCs/>
                <w:color w:val="000000"/>
                <w:sz w:val="24"/>
                <w:szCs w:val="24"/>
              </w:rPr>
              <w:t>Trong năm không có văn bản cấp trên giao thực hiện xây dựng VBQPPL</w:t>
            </w:r>
          </w:p>
        </w:tc>
        <w:tc>
          <w:tcPr>
            <w:tcW w:w="361" w:type="pct"/>
            <w:tcBorders>
              <w:top w:val="single" w:sz="4" w:space="0" w:color="auto"/>
              <w:left w:val="single" w:sz="4" w:space="0" w:color="auto"/>
              <w:bottom w:val="single" w:sz="4" w:space="0" w:color="auto"/>
              <w:right w:val="single" w:sz="4" w:space="0" w:color="auto"/>
            </w:tcBorders>
            <w:vAlign w:val="center"/>
          </w:tcPr>
          <w:p w14:paraId="77177B81" w14:textId="77777777"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5AEA0364" w14:textId="77777777" w:rsidR="0013696A" w:rsidRPr="004E16B6" w:rsidRDefault="00D8041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w:t>
            </w:r>
          </w:p>
        </w:tc>
        <w:tc>
          <w:tcPr>
            <w:tcW w:w="481" w:type="pct"/>
            <w:tcBorders>
              <w:top w:val="single" w:sz="4" w:space="0" w:color="auto"/>
              <w:left w:val="single" w:sz="4" w:space="0" w:color="auto"/>
              <w:bottom w:val="single" w:sz="4" w:space="0" w:color="auto"/>
              <w:right w:val="single" w:sz="4" w:space="0" w:color="auto"/>
            </w:tcBorders>
            <w:vAlign w:val="center"/>
          </w:tcPr>
          <w:p w14:paraId="5E90F3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D1B2DA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D99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585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869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04286C39" w14:textId="77777777" w:rsidR="0013696A" w:rsidRPr="004E16B6" w:rsidRDefault="000F46E2" w:rsidP="004E16B6">
            <w:pPr>
              <w:spacing w:after="0" w:line="240" w:lineRule="auto"/>
              <w:jc w:val="center"/>
              <w:rPr>
                <w:rFonts w:eastAsia="Times New Roman" w:cs="Times New Roman"/>
                <w:bCs/>
                <w:color w:val="000000"/>
                <w:sz w:val="24"/>
                <w:szCs w:val="24"/>
              </w:rPr>
            </w:pPr>
            <w:r w:rsidRPr="004E16B6">
              <w:rPr>
                <w:rFonts w:eastAsia="Times New Roman" w:cs="Times New Roman"/>
                <w:bCs/>
                <w:color w:val="000000"/>
                <w:sz w:val="24"/>
                <w:szCs w:val="24"/>
              </w:rPr>
              <w:t xml:space="preserve">Trong năm không có văn bản </w:t>
            </w:r>
            <w:r w:rsidR="00D80414">
              <w:rPr>
                <w:rFonts w:eastAsia="Times New Roman" w:cs="Times New Roman"/>
                <w:bCs/>
                <w:color w:val="000000"/>
                <w:sz w:val="24"/>
                <w:szCs w:val="24"/>
              </w:rPr>
              <w:t xml:space="preserve">cấp trên </w:t>
            </w:r>
            <w:r w:rsidRPr="004E16B6">
              <w:rPr>
                <w:rFonts w:eastAsia="Times New Roman" w:cs="Times New Roman"/>
                <w:bCs/>
                <w:color w:val="000000"/>
                <w:sz w:val="24"/>
                <w:szCs w:val="24"/>
              </w:rPr>
              <w:t>giao thực</w:t>
            </w:r>
            <w:r w:rsidR="00D80414">
              <w:rPr>
                <w:rFonts w:eastAsia="Times New Roman" w:cs="Times New Roman"/>
                <w:bCs/>
                <w:color w:val="000000"/>
                <w:sz w:val="24"/>
                <w:szCs w:val="24"/>
              </w:rPr>
              <w:t xml:space="preserve"> hiện xây dựng VBQPPL</w:t>
            </w:r>
          </w:p>
        </w:tc>
        <w:tc>
          <w:tcPr>
            <w:tcW w:w="361" w:type="pct"/>
            <w:tcBorders>
              <w:top w:val="single" w:sz="4" w:space="0" w:color="auto"/>
              <w:left w:val="single" w:sz="4" w:space="0" w:color="auto"/>
              <w:bottom w:val="single" w:sz="4" w:space="0" w:color="auto"/>
              <w:right w:val="single" w:sz="4" w:space="0" w:color="auto"/>
            </w:tcBorders>
          </w:tcPr>
          <w:p w14:paraId="1DCC7E15"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490DA805"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2BF3B118"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3EDDA110" w14:textId="77777777" w:rsidR="0013696A" w:rsidRPr="004E16B6" w:rsidRDefault="000F46E2"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778B74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F227E4"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32E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9D4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0F1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66C6E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D219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268DA4" w14:textId="77777777" w:rsidR="000F46E2" w:rsidRPr="004E16B6" w:rsidRDefault="000F46E2" w:rsidP="004E16B6">
            <w:pPr>
              <w:spacing w:after="0" w:line="240" w:lineRule="auto"/>
              <w:jc w:val="center"/>
              <w:rPr>
                <w:rFonts w:eastAsia="Times New Roman" w:cs="Times New Roman"/>
                <w:color w:val="000000"/>
                <w:sz w:val="24"/>
                <w:szCs w:val="24"/>
              </w:rPr>
            </w:pPr>
          </w:p>
          <w:p w14:paraId="4514B002"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45B117F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DA589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F12D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0E8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C0E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6054C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4534F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1A7BC9"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520BA5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50285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85F20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1AC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7C8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091D1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21E7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0CBE5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93D22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C2102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2930E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511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601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35BEB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57AE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6BDD003"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AE1FD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163E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F1D46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E2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9B5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B6F6F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D21FE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283AA2"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E5E34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E3F17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6CC8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1A6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C7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77BAA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E464F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6684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0654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C721A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322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2FC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11D15E5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CB2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700261B7" w14:textId="77777777" w:rsidR="0013696A" w:rsidRPr="004E16B6" w:rsidRDefault="00D80414" w:rsidP="004E16B6">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các</w:t>
            </w:r>
            <w:r w:rsidRPr="004E16B6">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61" w:type="pct"/>
            <w:tcBorders>
              <w:top w:val="single" w:sz="4" w:space="0" w:color="auto"/>
              <w:left w:val="single" w:sz="4" w:space="0" w:color="auto"/>
              <w:bottom w:val="single" w:sz="4" w:space="0" w:color="auto"/>
              <w:right w:val="single" w:sz="4" w:space="0" w:color="auto"/>
            </w:tcBorders>
            <w:vAlign w:val="center"/>
          </w:tcPr>
          <w:p w14:paraId="266B8DE3" w14:textId="77777777"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072F003B" w14:textId="77777777" w:rsidR="000F46E2" w:rsidRPr="004E16B6" w:rsidRDefault="000F46E2" w:rsidP="004E16B6">
            <w:pPr>
              <w:spacing w:after="0" w:line="240" w:lineRule="auto"/>
              <w:jc w:val="center"/>
              <w:rPr>
                <w:rFonts w:eastAsia="Times New Roman" w:cs="Times New Roman"/>
                <w:color w:val="000000"/>
                <w:sz w:val="24"/>
                <w:szCs w:val="24"/>
              </w:rPr>
            </w:pPr>
          </w:p>
          <w:p w14:paraId="312884D7"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A7D08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3845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6399B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D51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A7F4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4F221C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AABC2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5B0356"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09BCD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E50A3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DEA7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617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BEA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57E34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9F58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D1822B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1F93E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241CB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C4FA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349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853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ACD9E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D4F41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48DD61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05B85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C15CA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6E23F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5CC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C2FA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F6BD3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68EBC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E91B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5C0AD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4C2C6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0D99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1A9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9527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98E39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0516C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B878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F17C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C7E50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4FD3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6CB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BF9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2D1BB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064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0B9A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F4143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A909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977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C90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7B9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B3ED3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44FFE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D1C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A406D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C309F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E8D4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F091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BE6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0C542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AA045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19D04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FC9B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0B6F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61B70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826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EA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DAA65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09C7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B28F7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A08B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F3DEE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018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C380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F7C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009" w:type="pct"/>
            <w:tcBorders>
              <w:top w:val="single" w:sz="4" w:space="0" w:color="auto"/>
              <w:left w:val="single" w:sz="4" w:space="0" w:color="auto"/>
              <w:bottom w:val="single" w:sz="4" w:space="0" w:color="auto"/>
              <w:right w:val="single" w:sz="4" w:space="0" w:color="auto"/>
            </w:tcBorders>
          </w:tcPr>
          <w:p w14:paraId="6D51C1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4836B3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B63137" w14:textId="3CE18F4A" w:rsidR="0013696A" w:rsidRPr="003F35E0" w:rsidRDefault="00DB126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3F35E0">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188B096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63A40CC" w14:textId="77777777" w:rsidTr="00D123B3">
        <w:trPr>
          <w:trHeight w:val="1805"/>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BFA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D108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0786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7848652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5C8F0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E82369"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45A356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6EFC1A" w14:textId="77777777" w:rsidTr="00D123B3">
        <w:trPr>
          <w:trHeight w:val="1787"/>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492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66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A644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C167B6B" w14:textId="77777777" w:rsidR="0013696A" w:rsidRPr="00D80414"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Lập và đăng tải các danh mục văn bản được công khai đầy đủ trên cổng thông tin điện tử </w:t>
            </w:r>
            <w:r w:rsidRPr="004E16B6">
              <w:rPr>
                <w:rFonts w:eastAsia="Times New Roman" w:cs="Times New Roman"/>
                <w:color w:val="000000"/>
                <w:sz w:val="24"/>
                <w:szCs w:val="24"/>
                <w:lang w:val="vi-VN"/>
              </w:rPr>
              <w:t>theo đúng quy định pháp luật</w:t>
            </w:r>
          </w:p>
        </w:tc>
        <w:tc>
          <w:tcPr>
            <w:tcW w:w="361" w:type="pct"/>
            <w:tcBorders>
              <w:top w:val="single" w:sz="4" w:space="0" w:color="auto"/>
              <w:left w:val="single" w:sz="4" w:space="0" w:color="auto"/>
              <w:bottom w:val="single" w:sz="4" w:space="0" w:color="auto"/>
              <w:right w:val="single" w:sz="4" w:space="0" w:color="auto"/>
            </w:tcBorders>
          </w:tcPr>
          <w:p w14:paraId="0589A0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DE0B5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064CF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B296D7" w14:textId="77777777" w:rsidTr="00D123B3">
        <w:trPr>
          <w:trHeight w:val="1745"/>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A39F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EFF1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C01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06405D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498D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6D497D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74D259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216F2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518B2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410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7C2E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39C0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DF5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F360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1648AC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A192A7" w14:textId="77777777" w:rsidTr="00D123B3">
        <w:trPr>
          <w:trHeight w:val="1513"/>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B308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C2F7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7496AA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A8CE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vAlign w:val="center"/>
          </w:tcPr>
          <w:p w14:paraId="3C9CB9CF" w14:textId="77777777" w:rsidR="0013696A" w:rsidRPr="007147E5" w:rsidRDefault="007147E5"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Đã công khai thông tin đúng theo quy định</w:t>
            </w:r>
          </w:p>
        </w:tc>
        <w:tc>
          <w:tcPr>
            <w:tcW w:w="361" w:type="pct"/>
            <w:tcBorders>
              <w:top w:val="single" w:sz="4" w:space="0" w:color="auto"/>
              <w:left w:val="single" w:sz="4" w:space="0" w:color="auto"/>
              <w:bottom w:val="single" w:sz="4" w:space="0" w:color="auto"/>
              <w:right w:val="single" w:sz="4" w:space="0" w:color="auto"/>
            </w:tcBorders>
            <w:vAlign w:val="center"/>
          </w:tcPr>
          <w:p w14:paraId="63911B01" w14:textId="77777777"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50C5E94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539322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23812C" w14:textId="77777777" w:rsidTr="00D123B3">
        <w:trPr>
          <w:trHeight w:val="260"/>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83EE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528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1E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2DB7BA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C6A49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A255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2C156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D949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F56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979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C0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A7E51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B0D00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D03E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C0A8D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CA564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6A060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6E6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95B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72DB15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9DB69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61F9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6BC95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411BA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5D70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AF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2EB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E382E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5253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D6B1B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10999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5FF63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CEBB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96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422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5DA43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1531E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CAF6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16561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8F5C9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7699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1F33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D34E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3B2E9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C597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45582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F73B2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3AB8C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F60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E73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51F484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DA2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AD3EC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F165C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7F96BB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6A6FC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98641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057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F90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816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A03CC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CFCF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4A0D5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4EF83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AC5ED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459D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DB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743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8F6C8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868B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AB10C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3A96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EC596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BFAD6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45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BB8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37FA1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25A7B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4E45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9C711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8016F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F7A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75F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ECB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06F056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37C2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F34CB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76562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33A52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FE25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DE18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2A6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76D0E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DCE05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B873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631F2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52C4F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549CE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3C6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7C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65F7CE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C7E0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0CF2D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CCCD6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AD11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5C0A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32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1F69678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4C4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16E87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F0222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F4604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1D1F45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0A51C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94CD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1B25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280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47AB30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D7F2A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88161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19C412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9796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F0CD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F48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EC3B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62770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21BF4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5807C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D378F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B9B34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6F34C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8F1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8B2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78CC39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CF26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09BF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40F5E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FFA0EE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200E2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ABF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C0F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77F1A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2D27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94FFB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C5E7D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957BA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A672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4BF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D0E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4D238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FBF94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3BBE4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3C91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33A8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B5D75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3E40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FA0D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E69DF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AB31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8879A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53A05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65E56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51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9AE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62366A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B6B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170F41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551053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0433B7F"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6E4E497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76884E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F563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C8BF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02D1B3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C1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2D983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9FA8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1C853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4E2F4B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1BE7F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BFEAD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0E7D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9E8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3933E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2C927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A0C70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A5534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8B5A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3DA28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1C8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D4D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9352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0AE7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850EB2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35AD4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8FE8B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BE6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B410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94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62BDB2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80AE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DA98F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D03B6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2375A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DFA8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C04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3DE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F8092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703E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1A10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DFC0A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0CE9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6547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3D7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112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6411B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ACB3E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2F5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C26A1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D50EF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5993B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410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F6E5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66B90F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84DF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87E9B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C10DC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8D83A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AC1C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05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3D1196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820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683FF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0FD09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6EB360"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0FE44D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52E3B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FFF3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F8B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CF2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FBF6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A1AD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E7AB1FD"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640AED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E3B6E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F5B2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090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231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7441AC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67DE3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7B0710"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8CADF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B9E28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ED74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A4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CEC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589C3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12272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9C98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F8A53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60865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523F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1DEC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B36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22305D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471C5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A287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5314C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15E12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0DE56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6BD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144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3E43B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5C463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A2CCD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3CFC7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DC5F2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6B4B5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62EF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44B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AC0D6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2E349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48ECA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4F735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4E749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3BFCE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2866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61CC19A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1F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5D15A9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23F1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036BAE"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5F46C0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7C7EC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DAD5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F80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6E2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F45A3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A36D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A98D8B"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40A7E8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6469D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1766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0C2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358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4BCA1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39741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CA6C5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4FDE5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6CCBB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3C5A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7B0D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7F5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4EF6C8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796C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9431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D373E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07C79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CF128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78F8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AF6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C6ABF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38F1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841335"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32E194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B915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814D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465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1362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D37F6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6F28F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701D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30DD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8C1D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7AB32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7E6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C65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C11A0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B3F6B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B101E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45C00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45F6E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7DF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F51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175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8</w:t>
            </w:r>
          </w:p>
        </w:tc>
        <w:tc>
          <w:tcPr>
            <w:tcW w:w="1009" w:type="pct"/>
            <w:tcBorders>
              <w:top w:val="single" w:sz="4" w:space="0" w:color="auto"/>
              <w:left w:val="single" w:sz="4" w:space="0" w:color="auto"/>
              <w:bottom w:val="single" w:sz="4" w:space="0" w:color="auto"/>
              <w:right w:val="single" w:sz="4" w:space="0" w:color="auto"/>
            </w:tcBorders>
          </w:tcPr>
          <w:p w14:paraId="730BFF4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E4E398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A0233AF"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8</w:t>
            </w:r>
          </w:p>
        </w:tc>
        <w:tc>
          <w:tcPr>
            <w:tcW w:w="481" w:type="pct"/>
            <w:tcBorders>
              <w:top w:val="single" w:sz="4" w:space="0" w:color="auto"/>
              <w:left w:val="single" w:sz="4" w:space="0" w:color="auto"/>
              <w:bottom w:val="single" w:sz="4" w:space="0" w:color="auto"/>
              <w:right w:val="single" w:sz="4" w:space="0" w:color="auto"/>
            </w:tcBorders>
            <w:vAlign w:val="center"/>
          </w:tcPr>
          <w:p w14:paraId="11857E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7360DB9"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F1B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7F3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ADB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2E539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EDE02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03BA0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80447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1668D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B951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911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4A8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9AAB5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5140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05087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2821A0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9FBA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C02D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B33A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937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1F0EB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8A2C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9E11E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C4C8D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D4608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8C0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A6E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04B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548C7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288C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290D6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98058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70A1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878D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9E5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77C9EC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8CD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533564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6D25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4DE7D3" w14:textId="0231EA2D" w:rsidR="0013696A" w:rsidRPr="00FF57F4" w:rsidRDefault="00FF57F4" w:rsidP="004E16B6">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3</w:t>
            </w:r>
          </w:p>
        </w:tc>
        <w:tc>
          <w:tcPr>
            <w:tcW w:w="481" w:type="pct"/>
            <w:tcBorders>
              <w:top w:val="single" w:sz="4" w:space="0" w:color="auto"/>
              <w:left w:val="single" w:sz="4" w:space="0" w:color="auto"/>
              <w:bottom w:val="single" w:sz="4" w:space="0" w:color="auto"/>
              <w:right w:val="single" w:sz="4" w:space="0" w:color="auto"/>
            </w:tcBorders>
            <w:vAlign w:val="center"/>
          </w:tcPr>
          <w:p w14:paraId="77C388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BBC30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F9D81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2A5E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311F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07D601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81409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3C90C95" w14:textId="7F7EDA18" w:rsidR="0013696A" w:rsidRPr="00FF57F4" w:rsidRDefault="00FF57F4" w:rsidP="004E16B6">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lang w:val="vi-VN"/>
              </w:rPr>
              <w:t>3</w:t>
            </w:r>
          </w:p>
        </w:tc>
        <w:tc>
          <w:tcPr>
            <w:tcW w:w="481" w:type="pct"/>
            <w:tcBorders>
              <w:top w:val="single" w:sz="4" w:space="0" w:color="auto"/>
              <w:left w:val="single" w:sz="4" w:space="0" w:color="auto"/>
              <w:bottom w:val="single" w:sz="4" w:space="0" w:color="auto"/>
              <w:right w:val="single" w:sz="4" w:space="0" w:color="auto"/>
            </w:tcBorders>
            <w:vAlign w:val="center"/>
          </w:tcPr>
          <w:p w14:paraId="02F4AD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D4D3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35903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9EF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F84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FEAFA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9B8C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6FC5C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1040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5D54D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BE534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DE01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A95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2B5A2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D1F2B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FDD3F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5D571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B9332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8C59E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BE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69F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5C326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AB682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6B7E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71C38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9CC4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EB40B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DBFF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AFFC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113A8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A3D82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BE7D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AED09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1A58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35C3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1B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D20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C3A47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CE6D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44407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DEB6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765B4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C828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4DAE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2C0EDE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51724E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A05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31F3BA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47B1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F7ACB0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4CB6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61538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98E19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3A1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81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FDE3A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B7AA1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96564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477D6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035A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CDEB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E28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3A83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DEA1E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9575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D8DD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BBB6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EDAF6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BE3E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FC7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086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54E54B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B867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BD4C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92462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092A1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6DDC3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67B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492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DC373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2BDF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22E7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A1F2C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1D47E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9FE4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48B2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AFC1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668686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1EA7A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B6F91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2D2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BF54F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5C84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FEC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E896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32A8B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223D4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952C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CDEB4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00DAD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B3F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7AA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Triển khai các hình thức, mô hình thông tin, phổ biến, giáo dục pháp luật hiệu quả tại cơ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7FC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74DE578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0D145E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72FFF0"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21D1784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0F20B60"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86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CD37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88D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1C8D3C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16776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2C0A5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199555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D3CB2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B1B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624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95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5F03E7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3E04C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EF34B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69BCB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FCED1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654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9E29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641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5EBE32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A582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8DE0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EFD49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B0C8B0"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141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24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41A997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109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E4693F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A87A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E699014" w14:textId="0B87FFE5" w:rsidR="0013696A" w:rsidRPr="004E16B6" w:rsidRDefault="003F35E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481" w:type="pct"/>
            <w:tcBorders>
              <w:top w:val="single" w:sz="4" w:space="0" w:color="auto"/>
              <w:left w:val="single" w:sz="4" w:space="0" w:color="auto"/>
              <w:bottom w:val="single" w:sz="4" w:space="0" w:color="auto"/>
              <w:right w:val="single" w:sz="4" w:space="0" w:color="auto"/>
            </w:tcBorders>
            <w:vAlign w:val="center"/>
          </w:tcPr>
          <w:p w14:paraId="42C9258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CF2180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FE75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A176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059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3F44B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00F4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AF7550" w14:textId="3442D590"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73450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612E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91179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3D6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684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5D5CB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F31D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AC3D6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FEE9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29A406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3DB7D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2F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93F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5DAB0A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5BC23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DA45A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51DC8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8DC7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A5E17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6C2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DE50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9E73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7128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E25E8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F49C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81BC1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2506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4A22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4CC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0F6FE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9051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811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A68D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1536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1A0E5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59B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A43B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BE454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18462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EC0BAC0" w14:textId="0307BA53" w:rsidR="0013696A" w:rsidRPr="003F35E0" w:rsidRDefault="003F35E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tcBorders>
              <w:top w:val="single" w:sz="4" w:space="0" w:color="auto"/>
              <w:left w:val="single" w:sz="4" w:space="0" w:color="auto"/>
              <w:bottom w:val="single" w:sz="4" w:space="0" w:color="auto"/>
              <w:right w:val="single" w:sz="4" w:space="0" w:color="auto"/>
            </w:tcBorders>
            <w:vAlign w:val="center"/>
          </w:tcPr>
          <w:p w14:paraId="72C938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48D29"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902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FA2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882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5C2C94D9" w14:textId="6D07A757" w:rsidR="0013696A" w:rsidRPr="007147E5" w:rsidRDefault="007147E5" w:rsidP="00DB126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w:t>
            </w:r>
          </w:p>
        </w:tc>
        <w:tc>
          <w:tcPr>
            <w:tcW w:w="361" w:type="pct"/>
            <w:tcBorders>
              <w:top w:val="single" w:sz="4" w:space="0" w:color="auto"/>
              <w:left w:val="single" w:sz="4" w:space="0" w:color="auto"/>
              <w:bottom w:val="single" w:sz="4" w:space="0" w:color="auto"/>
              <w:right w:val="single" w:sz="4" w:space="0" w:color="auto"/>
            </w:tcBorders>
          </w:tcPr>
          <w:p w14:paraId="35573BD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E9FC6B3" w14:textId="2F35B641" w:rsidR="0013696A" w:rsidRPr="004E16B6" w:rsidRDefault="003F35E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0296BD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B7758E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85C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B07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7B44D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B0ECF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24573FD" w14:textId="4F24765D" w:rsidR="0013696A" w:rsidRPr="004E16B6" w:rsidRDefault="003F35E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D7F65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A2472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B25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31D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083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53EE9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98FA9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768D4A7" w14:textId="3A9DB48E"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BB2CE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16AB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9181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A86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8259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DE79D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80CB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D0118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E2276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D0717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BE603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C4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F5D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82395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83D97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DDE51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4E0CA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D09FB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E948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53A9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57F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83B11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2490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EC556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38F84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34384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8C89A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A62E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1F6F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16C25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CE907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2DA80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38659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905A5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FE6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D1C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35E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6D7C59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C4075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15AC4D6" w14:textId="77777777" w:rsidR="0013696A" w:rsidRPr="004E16B6" w:rsidRDefault="00D123B3" w:rsidP="00DB126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r w:rsidR="00DB1265">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23E27F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26DE18B"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5AD9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 xml:space="preserve">Chỉ tiêu </w:t>
            </w:r>
            <w:r w:rsidRPr="004E16B6">
              <w:rPr>
                <w:rFonts w:eastAsia="Times New Roman" w:cs="Times New Roman"/>
                <w:b/>
                <w:bCs/>
                <w:color w:val="000000"/>
                <w:sz w:val="24"/>
                <w:szCs w:val="24"/>
                <w:lang w:val="vi-VN"/>
              </w:rPr>
              <w:lastRenderedPageBreak/>
              <w:t>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258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 xml:space="preserve">Các mâu thuẫn, tranh chấp, vi phạm pháp luật thuộc phạm vi hòa giải ở cơ sở </w:t>
            </w:r>
            <w:r w:rsidRPr="004E16B6">
              <w:rPr>
                <w:rFonts w:eastAsia="Times New Roman" w:cs="Times New Roman"/>
                <w:b/>
                <w:bCs/>
                <w:color w:val="000000"/>
                <w:sz w:val="24"/>
                <w:szCs w:val="24"/>
                <w:lang w:val="vi-VN"/>
              </w:rPr>
              <w:lastRenderedPageBreak/>
              <w:t>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5F3F43A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vụ, việc hòa giải được tính 07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E38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7</w:t>
            </w:r>
          </w:p>
        </w:tc>
        <w:tc>
          <w:tcPr>
            <w:tcW w:w="1009" w:type="pct"/>
            <w:tcBorders>
              <w:top w:val="single" w:sz="4" w:space="0" w:color="auto"/>
              <w:left w:val="single" w:sz="4" w:space="0" w:color="auto"/>
              <w:bottom w:val="single" w:sz="4" w:space="0" w:color="auto"/>
              <w:right w:val="single" w:sz="4" w:space="0" w:color="auto"/>
            </w:tcBorders>
          </w:tcPr>
          <w:p w14:paraId="2B0D1EF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169D0E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8032B1" w14:textId="77777777" w:rsidR="0013696A" w:rsidRPr="004E16B6" w:rsidRDefault="009F6A5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2825850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B2729E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276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BC0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75555C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D82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5AEBBB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0816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098C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13A78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D8F31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8022C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39A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4D8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19E7A3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709B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9040E55"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7BA68F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71010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F2462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ABB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2D1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tcPr>
          <w:p w14:paraId="49AD26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2AE8D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D738FBE"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55E58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F2F30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40BB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1A30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70F4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4D17C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3A1D0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1DAF3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7BDE4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46FFA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61B1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30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2E6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17A9E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0C21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5F61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37D0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A2D65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CB00F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FCB6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B34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E09D0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9349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278AD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AAE02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8311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05D2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2CE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BA5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98698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B8B8B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3761B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1C5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1993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36241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36A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04DC7E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01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1A93B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FF043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F59CE0E"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2342B9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F0D3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1E97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8E53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F58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57249C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28B16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F09827"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5509CC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F77E7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2F5B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A4D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8E2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tcPr>
          <w:p w14:paraId="5ED8DB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06FFF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3A4A798"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EBE42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0A584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AEA4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74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9B48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F0E5D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52311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D5087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7BF8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48FBC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EA23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3EE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15D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2D517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EA40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C2F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E7DCD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60D7B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EF101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97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BA0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048277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C355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48B5E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1B12E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C93BD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4151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4D9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6C7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A9AC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DCE6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17C1D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188DE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1F6C9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944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4DD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Hỗ trợ kinh phí cho hoạt động hòa giải ở cơ sở theo đúng quy định pháp luật về hòa giải ở cơ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A7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601DCA4" w14:textId="59AB9962" w:rsidR="0013696A" w:rsidRPr="00C16462" w:rsidRDefault="0013696A" w:rsidP="004E16B6">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507A514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F8BDDA3" w14:textId="77777777" w:rsidR="0013696A" w:rsidRPr="004E16B6" w:rsidRDefault="00DB126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3C2AAC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448011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5A8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AD4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DE2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864E7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21470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536761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55DA3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9E877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5F33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DC5D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36ABB5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E904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50240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6E4B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522B70" w14:textId="77777777" w:rsidR="0013696A" w:rsidRPr="004E16B6"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175930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2EDD4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BF88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1EC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EA0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4BFEA6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467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1E5DA2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9EF6C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77BD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EAD11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44E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DA0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69E04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717C2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975CB9" w14:textId="77777777" w:rsidR="0013696A" w:rsidRPr="00DB1265"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2ACD13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46A44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AC693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DBE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5B5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3472C2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1981A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4C8F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B2025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4D48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18E77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3EE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B1EA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C22C1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6FFC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47EF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5BF2A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F3D67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1951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2A0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76D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88FFC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CAF5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331CE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8BEDB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1CCA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730C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625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2800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599639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3315C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B0C2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33512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F54D1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975B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99BF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460112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51B7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A6B37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E36C4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6155A38" w14:textId="77777777" w:rsidR="0013696A" w:rsidRPr="004E16B6"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0C3302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bookmarkStart w:id="0" w:name="_GoBack"/>
        <w:bookmarkEnd w:id="0"/>
      </w:tr>
      <w:tr w:rsidR="00D80414" w:rsidRPr="004E16B6" w14:paraId="2285844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A2BF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666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B6B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9B6DC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3992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BFC04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0540D0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750D8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3170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86C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20A9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B5D76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B992F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EB77189" w14:textId="77777777" w:rsidR="0013696A" w:rsidRPr="00DB1265"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5E8B7E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13D35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947A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BD8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5AD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6D6B1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9DF8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453A4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7DB17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7F71F4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9E7B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39D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E3A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1B341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4E111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96039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B877D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8F400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77BE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F9C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FFD5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77972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D0363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16D5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1603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750C7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97F9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E5C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3AF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FA532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F85FC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2233A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C7772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6AB23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AF4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0E4D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20F727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44A6CF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384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26708EFA" w14:textId="3CBE4061" w:rsidR="0013696A" w:rsidRPr="00450CDD" w:rsidRDefault="0013696A" w:rsidP="00DB1265">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4729CE02"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29D0FD9E" w14:textId="1D22C0D9" w:rsidR="0013696A" w:rsidRPr="004E16B6" w:rsidRDefault="003F35E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19E568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84BB39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2D5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C9F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5EBE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0CE904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6119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21464A8" w14:textId="680D05F9" w:rsidR="0013696A" w:rsidRPr="0011284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36658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ED51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35D11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452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43F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7143AA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BFA66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02B27D7" w14:textId="56AAFE84" w:rsidR="0013696A" w:rsidRPr="00DB1265" w:rsidRDefault="003F35E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72A458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FEC82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6086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097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DF6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A255F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CEEC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B55B8A3"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2990F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CCEBA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50E32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D8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9ABD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0FF2AC0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BBF68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09B7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4D2F9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75210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7914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9F9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3CA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FCBD5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9BD3E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1DB9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B7083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DF19E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81F0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0A7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BDDA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E12D5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39BA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BA4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88E08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C37C5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66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1C91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CD61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009" w:type="pct"/>
            <w:tcBorders>
              <w:top w:val="single" w:sz="4" w:space="0" w:color="auto"/>
              <w:left w:val="single" w:sz="4" w:space="0" w:color="auto"/>
              <w:bottom w:val="single" w:sz="4" w:space="0" w:color="auto"/>
              <w:right w:val="single" w:sz="4" w:space="0" w:color="auto"/>
            </w:tcBorders>
          </w:tcPr>
          <w:p w14:paraId="313F176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C7201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A3A949" w14:textId="77777777" w:rsidR="0013696A" w:rsidRPr="004E16B6" w:rsidRDefault="008515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18</w:t>
            </w:r>
          </w:p>
        </w:tc>
        <w:tc>
          <w:tcPr>
            <w:tcW w:w="481" w:type="pct"/>
            <w:tcBorders>
              <w:top w:val="single" w:sz="4" w:space="0" w:color="auto"/>
              <w:left w:val="single" w:sz="4" w:space="0" w:color="auto"/>
              <w:bottom w:val="single" w:sz="4" w:space="0" w:color="auto"/>
              <w:right w:val="single" w:sz="4" w:space="0" w:color="auto"/>
            </w:tcBorders>
            <w:vAlign w:val="center"/>
          </w:tcPr>
          <w:p w14:paraId="4DA2271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910FA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528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92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E72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7E09D8B" w14:textId="16CC4587" w:rsidR="0013696A" w:rsidRPr="00450CDD" w:rsidRDefault="0013696A" w:rsidP="009B27A6">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0F08B71D" w14:textId="359415B3"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5C65904D"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F5DBFB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7CE3B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30F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20E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28F4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60E9A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94C5A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25D47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353EB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110BD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3983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2E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tổ chức hội nghị</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58F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65AB5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10189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305F0D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5F41D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37F1C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010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905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199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628CC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46C3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CE65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02AC0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301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443E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C9C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7A9B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96735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7704C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A33B114"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1C1D19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FB398E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3C15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7CFA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643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9C5A1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E116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F2DCDC5"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0B3BC9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D5129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FEC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7FD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thông báo hoặc có thông báo nhưng không đúng thời hạn hoặc không đúng hình thức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C17F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EB110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9D635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9DD44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8947E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93AAE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757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03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64C88BA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 (Tổng số nội dung đã đưa ra Nhân dân bàn, quyết định trực tiếp đúng hình thức, yêu cầu theo quy định pháp </w:t>
            </w:r>
            <w:r w:rsidRPr="004E16B6">
              <w:rPr>
                <w:rFonts w:eastAsia="Times New Roman" w:cs="Times New Roman"/>
                <w:i/>
                <w:iCs/>
                <w:color w:val="000000"/>
                <w:sz w:val="24"/>
                <w:szCs w:val="24"/>
                <w:lang w:val="vi-VN"/>
              </w:rPr>
              <w:lastRenderedPageBreak/>
              <w:t>luật/Tổng số nội dung pháp luật quy định phải tổ chức để Nhân dân bàn, quyết định trực tiếp)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313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4</w:t>
            </w:r>
          </w:p>
        </w:tc>
        <w:tc>
          <w:tcPr>
            <w:tcW w:w="1009" w:type="pct"/>
            <w:tcBorders>
              <w:top w:val="single" w:sz="4" w:space="0" w:color="auto"/>
              <w:left w:val="single" w:sz="4" w:space="0" w:color="auto"/>
              <w:bottom w:val="single" w:sz="4" w:space="0" w:color="auto"/>
              <w:right w:val="single" w:sz="4" w:space="0" w:color="auto"/>
            </w:tcBorders>
            <w:vAlign w:val="center"/>
          </w:tcPr>
          <w:p w14:paraId="172C7964"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nội dung nhân dân được quyền bàn và quyết định được công khai và tổ chức họp nhân dân đúng theo quy định</w:t>
            </w:r>
          </w:p>
        </w:tc>
        <w:tc>
          <w:tcPr>
            <w:tcW w:w="361" w:type="pct"/>
            <w:tcBorders>
              <w:top w:val="single" w:sz="4" w:space="0" w:color="auto"/>
              <w:left w:val="single" w:sz="4" w:space="0" w:color="auto"/>
              <w:bottom w:val="single" w:sz="4" w:space="0" w:color="auto"/>
              <w:right w:val="single" w:sz="4" w:space="0" w:color="auto"/>
            </w:tcBorders>
          </w:tcPr>
          <w:p w14:paraId="2039A78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DBBFDA" w14:textId="77777777" w:rsidR="0013696A" w:rsidRPr="004E16B6" w:rsidRDefault="008515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2F5BECA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3755B5"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106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638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F65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2A00FF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53D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01B5BF"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33A63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D24465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DFB52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48B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A94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A8E9B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BE448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FB64681" w14:textId="77777777" w:rsidR="0013696A" w:rsidRPr="00851547"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1EBB93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76E25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AAAB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2F33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864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F5560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96B03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975DF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A0525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A4353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D6B62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671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551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02282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6FADB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0BD8B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ADA5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840C0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9A0CD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B85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DE6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3655A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23E40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2F24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0860B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583E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CDC08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FFB6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C3C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FF3F4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F145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0463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6790F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2F9D8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E6C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413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4C5E3A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355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7317EF1F" w14:textId="77777777"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triển khai công tác bầu cử Trưởng thôn </w:t>
            </w:r>
            <w:r w:rsidR="00112846">
              <w:rPr>
                <w:rFonts w:eastAsia="Times New Roman" w:cs="Times New Roman"/>
                <w:b/>
                <w:bCs/>
                <w:color w:val="000000"/>
                <w:sz w:val="24"/>
                <w:szCs w:val="24"/>
              </w:rPr>
              <w:t>,</w:t>
            </w:r>
            <w:r>
              <w:rPr>
                <w:rFonts w:eastAsia="Times New Roman" w:cs="Times New Roman"/>
                <w:b/>
                <w:bCs/>
                <w:color w:val="000000"/>
                <w:sz w:val="24"/>
                <w:szCs w:val="24"/>
              </w:rPr>
              <w:t xml:space="preserve"> </w:t>
            </w:r>
            <w:r w:rsidR="00112846">
              <w:rPr>
                <w:rFonts w:eastAsia="Times New Roman" w:cs="Times New Roman"/>
                <w:b/>
                <w:bCs/>
                <w:color w:val="000000"/>
                <w:sz w:val="24"/>
                <w:szCs w:val="24"/>
              </w:rPr>
              <w:t>bầu</w:t>
            </w:r>
            <w:r>
              <w:rPr>
                <w:rFonts w:eastAsia="Times New Roman" w:cs="Times New Roman"/>
                <w:b/>
                <w:bCs/>
                <w:color w:val="000000"/>
                <w:sz w:val="24"/>
                <w:szCs w:val="24"/>
              </w:rPr>
              <w:t xml:space="preserve"> ban Thanh tra nhân dân và ban giám sát cộng đồng</w:t>
            </w:r>
            <w:r w:rsidR="00112846">
              <w:rPr>
                <w:rFonts w:eastAsia="Times New Roman" w:cs="Times New Roman"/>
                <w:b/>
                <w:bCs/>
                <w:color w:val="000000"/>
                <w:sz w:val="24"/>
                <w:szCs w:val="24"/>
              </w:rPr>
              <w:t>, kiện toàn tổ hòa giải</w:t>
            </w:r>
            <w:r>
              <w:rPr>
                <w:rFonts w:eastAsia="Times New Roman" w:cs="Times New Roman"/>
                <w:b/>
                <w:bCs/>
                <w:color w:val="000000"/>
                <w:sz w:val="24"/>
                <w:szCs w:val="24"/>
              </w:rPr>
              <w:t xml:space="preserve"> được tổ chức đúng theo quy định của pháp luật</w:t>
            </w:r>
          </w:p>
        </w:tc>
        <w:tc>
          <w:tcPr>
            <w:tcW w:w="361" w:type="pct"/>
            <w:tcBorders>
              <w:top w:val="single" w:sz="4" w:space="0" w:color="auto"/>
              <w:left w:val="single" w:sz="4" w:space="0" w:color="auto"/>
              <w:bottom w:val="single" w:sz="4" w:space="0" w:color="auto"/>
              <w:right w:val="single" w:sz="4" w:space="0" w:color="auto"/>
            </w:tcBorders>
          </w:tcPr>
          <w:p w14:paraId="783D6C8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A3377"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61538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26403F3"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C2F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A1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4FA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2351A4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1BD5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D7E60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619F9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B9C5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F855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F09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D63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AFC53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D1EFC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8D437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07482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9BB14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E0ADC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671E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D360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A0EE6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8A0AC8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06A3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4AD3A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0BCCC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EB8CA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F1F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3C8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68024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FA80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3156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CBEE2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B94C5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BC1A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244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64F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2C9EA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731BA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9CF4E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0FEA2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EB070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B2C80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16C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697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A0F3D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5AAD7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0F3A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13727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DCD8EB"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9FD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1BC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66A795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218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0AE971CD"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38BF8DD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7B1CFDE" w14:textId="77777777" w:rsidR="0013696A" w:rsidRPr="004E16B6" w:rsidRDefault="008515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6B8052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D1133F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A8A1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12C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E1C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DD9DC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9DD26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0FC6DF"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1C4D50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EB752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0444D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63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850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05ED1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08C89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77D359" w14:textId="77777777" w:rsidR="0013696A" w:rsidRPr="00851547"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41F3E0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DC5E3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F99D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467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EA1E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9F5D5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0CDE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B076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3C9EE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B8E01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1708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28E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C72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6E5D1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57F5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064D8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7E2A3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37385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7AD13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9F2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D24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2B4C5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04FD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66D65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D897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9EFA2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7893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7F8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D30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B092D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A25B0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2F1DB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38DCA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02A32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85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50A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B7C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0D808DD5"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17CDD50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E718325"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73C0FEF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F445EC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AAD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370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E5A8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36346C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43ADF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9FEE5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F87FE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DE8C8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F56C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42A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3F2B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05350FD" w14:textId="77777777" w:rsidR="0013696A" w:rsidRPr="0074680D" w:rsidRDefault="007C32F0" w:rsidP="007C32F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 các dự án đều có</w:t>
            </w:r>
            <w:r w:rsidR="0074680D">
              <w:rPr>
                <w:rFonts w:eastAsia="Times New Roman" w:cs="Times New Roman"/>
                <w:color w:val="000000"/>
                <w:sz w:val="24"/>
                <w:szCs w:val="24"/>
              </w:rPr>
              <w:t xml:space="preserve"> quyết định cử người giám sát</w:t>
            </w:r>
          </w:p>
        </w:tc>
        <w:tc>
          <w:tcPr>
            <w:tcW w:w="361" w:type="pct"/>
            <w:tcBorders>
              <w:top w:val="single" w:sz="4" w:space="0" w:color="auto"/>
              <w:left w:val="single" w:sz="4" w:space="0" w:color="auto"/>
              <w:bottom w:val="single" w:sz="4" w:space="0" w:color="auto"/>
              <w:right w:val="single" w:sz="4" w:space="0" w:color="auto"/>
            </w:tcBorders>
            <w:vAlign w:val="center"/>
          </w:tcPr>
          <w:p w14:paraId="5756D313" w14:textId="77777777" w:rsidR="0013696A" w:rsidRPr="0074680D" w:rsidRDefault="0074680D" w:rsidP="0074680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38EC5F9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F1BD5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9ED52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C1DC2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A3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EF4A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BDD97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1245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0FD9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A121A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DE9D0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640C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890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334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0F96D9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926F6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6C511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14576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36B70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3B01A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BB4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0C82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FDAE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5251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D11B9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C117E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A2485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194AA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10BA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A028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57FD9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4CE73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F2466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7FF3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CE455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BE16C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C09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767B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EA213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AC279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BFB72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22E31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35A9D9"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65B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B3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429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vAlign w:val="center"/>
          </w:tcPr>
          <w:p w14:paraId="79A077E9" w14:textId="77777777"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đã tổ chức hội nghị tiếp công dân định kỳ và thường xuyên nhưng thực hiện chưa đầy đủ theo quy định </w:t>
            </w:r>
          </w:p>
        </w:tc>
        <w:tc>
          <w:tcPr>
            <w:tcW w:w="361" w:type="pct"/>
            <w:tcBorders>
              <w:top w:val="single" w:sz="4" w:space="0" w:color="auto"/>
              <w:left w:val="single" w:sz="4" w:space="0" w:color="auto"/>
              <w:bottom w:val="single" w:sz="4" w:space="0" w:color="auto"/>
              <w:right w:val="single" w:sz="4" w:space="0" w:color="auto"/>
            </w:tcBorders>
          </w:tcPr>
          <w:p w14:paraId="1C250DD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491F0F6" w14:textId="767F564D" w:rsidR="0013696A" w:rsidRPr="00C66AFC" w:rsidRDefault="0017510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C66AFC">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7DD5FC1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2C0A103"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19E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970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85D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77F328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658EEE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D13847" w14:textId="77777777" w:rsidR="0013696A" w:rsidRPr="004E16B6" w:rsidRDefault="00C42D51"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6168F66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2E0D1F8"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DA54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AE0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E8A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74F901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AEE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2F04791" w14:textId="77777777" w:rsidR="0013696A" w:rsidRPr="004E16B6" w:rsidRDefault="00C42D51"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16F653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218BA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E3BF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887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BAC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56D84E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359F1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CA04B2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5C6F12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982A3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F6584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5B6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C6A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C8D1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ACB26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E92B608"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4D5E1D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3FA2D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9815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A35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176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23F0394" w14:textId="77777777" w:rsidR="0013696A" w:rsidRPr="004E16B6" w:rsidRDefault="0074680D" w:rsidP="004E16B6">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Trong năm đã tổ chức hội nghị tiếp công dân định kỳ và thường xuyên nhưng thực hiện chưa đầy đủ theo quy định</w:t>
            </w:r>
          </w:p>
        </w:tc>
        <w:tc>
          <w:tcPr>
            <w:tcW w:w="361" w:type="pct"/>
            <w:tcBorders>
              <w:top w:val="single" w:sz="4" w:space="0" w:color="auto"/>
              <w:left w:val="single" w:sz="4" w:space="0" w:color="auto"/>
              <w:bottom w:val="single" w:sz="4" w:space="0" w:color="auto"/>
              <w:right w:val="single" w:sz="4" w:space="0" w:color="auto"/>
            </w:tcBorders>
          </w:tcPr>
          <w:p w14:paraId="16790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64B6D7" w14:textId="77777777" w:rsidR="0013696A" w:rsidRPr="004E16B6"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7EC720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4F7C1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56E4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B820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873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5B011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AEA2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A38E2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99251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BC2C2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577C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182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37CE6A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04C753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2E2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E3D82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8B96C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C78897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673D6E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41D22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F69AE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155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52C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8924D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C4A5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03DFB8"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DAA3F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32649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28FD3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7CE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6E7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ADC3F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E85FC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24F4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CB16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213A6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991A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49D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423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8DBFF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AF7C6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E74DA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3FBBA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C0D3D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CAE2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17A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8C56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63AC6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7EC8F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3FE7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39D6F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F682F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8CD6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360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89DF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1817D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FB77C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D266F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688C4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92E4B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0C49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F7D9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301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4DAA7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3566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53314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39F19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FB3C7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5C4A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074F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3EE4D9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(Tổng số khiếu nại, tố cáo được giải quyết đúng quy định pháp luật/Tổng số </w:t>
            </w:r>
            <w:r w:rsidRPr="004E16B6">
              <w:rPr>
                <w:rFonts w:eastAsia="Times New Roman" w:cs="Times New Roman"/>
                <w:i/>
                <w:iCs/>
                <w:color w:val="000000"/>
                <w:sz w:val="24"/>
                <w:szCs w:val="24"/>
                <w:lang w:val="vi-VN"/>
              </w:rPr>
              <w:lastRenderedPageBreak/>
              <w:t>khiếu nại, tố cáo đủ điều kiện giải quyết đã được tiếp nhận) x 100</w:t>
            </w:r>
          </w:p>
          <w:p w14:paraId="6C6DDB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B03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2</w:t>
            </w:r>
          </w:p>
        </w:tc>
        <w:tc>
          <w:tcPr>
            <w:tcW w:w="1009" w:type="pct"/>
            <w:tcBorders>
              <w:top w:val="single" w:sz="4" w:space="0" w:color="auto"/>
              <w:left w:val="single" w:sz="4" w:space="0" w:color="auto"/>
              <w:bottom w:val="single" w:sz="4" w:space="0" w:color="auto"/>
              <w:right w:val="single" w:sz="4" w:space="0" w:color="auto"/>
            </w:tcBorders>
          </w:tcPr>
          <w:p w14:paraId="691EFB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936C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BF37C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70CC5C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1B169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4AA26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429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11C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2CF12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0357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3F1E9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48631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A8930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3DC81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1E7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DCA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77CB19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8BF7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596B7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20DF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C997F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E2B3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DDB5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46F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3A5F7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103B5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4542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1460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5160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D8A26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67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571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FC6BC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62C1E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AC05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35811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C2AE2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19FA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888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4EA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FB9B9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0DE7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8B8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4554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2788DD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9F1E3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762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144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06CA1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7FF1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6563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9B2FB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6800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7496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C06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4F9CC3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7B2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vAlign w:val="center"/>
          </w:tcPr>
          <w:p w14:paraId="5E67DD60"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thủ tục hành chính đã tiếp nhận và giải quyết đúng theo quy định</w:t>
            </w:r>
          </w:p>
        </w:tc>
        <w:tc>
          <w:tcPr>
            <w:tcW w:w="361" w:type="pct"/>
            <w:tcBorders>
              <w:top w:val="single" w:sz="4" w:space="0" w:color="auto"/>
              <w:left w:val="single" w:sz="4" w:space="0" w:color="auto"/>
              <w:bottom w:val="single" w:sz="4" w:space="0" w:color="auto"/>
              <w:right w:val="single" w:sz="4" w:space="0" w:color="auto"/>
            </w:tcBorders>
            <w:vAlign w:val="center"/>
          </w:tcPr>
          <w:p w14:paraId="51A49D51"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3334066A" w14:textId="6952CCEF" w:rsidR="0013696A" w:rsidRPr="004E16B6" w:rsidRDefault="00C66AFC"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6DE6F01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C2C7A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B1B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756D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AA1A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5BC8B5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DE3DE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9D023B1" w14:textId="3F0F7281" w:rsidR="0013696A" w:rsidRPr="004E16B6" w:rsidRDefault="00C66AFC"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0F61C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894E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728F9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C3F1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E4D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17CE34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CAF16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40ADF5C" w14:textId="288CDD38" w:rsidR="0013696A" w:rsidRPr="00851547"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027B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B3F05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8F131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BDE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C09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A3003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F335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6075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68245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15FC7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19296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72E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791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8BEFD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0037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D674C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EEC4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53665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8375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ECF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C5F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0773EF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5C6EE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BA526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9B964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9028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8AE2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714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7B5F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88CEE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1A72E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5B830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636AC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657C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2D75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C094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DFA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0E3978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D1B1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088E4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EAA21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38862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C2381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F5F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EE14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74B5FD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C8DA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86AA3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E203F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438C0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7E5A2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4A2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6C0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2376B7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C5BF3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E96B4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69C4D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EA422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114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C54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486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0AC36D2B"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063FBB2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FC7BCC" w14:textId="32FA39F4" w:rsidR="0013696A" w:rsidRPr="00C66AFC" w:rsidRDefault="00C66AFC"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522621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006A182"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9C0B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31C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4A2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26F124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1627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900B7A0" w14:textId="1B5D633B" w:rsidR="0013696A" w:rsidRPr="004E16B6" w:rsidRDefault="00C66AFC"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3B914B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60678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6ED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A7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D09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29779DEF"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6CF2A5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C6EABE" w14:textId="77777777" w:rsidR="0013696A" w:rsidRPr="00C24AE7" w:rsidRDefault="00C24AE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tcBorders>
              <w:top w:val="single" w:sz="4" w:space="0" w:color="auto"/>
              <w:left w:val="single" w:sz="4" w:space="0" w:color="auto"/>
              <w:bottom w:val="single" w:sz="4" w:space="0" w:color="auto"/>
              <w:right w:val="single" w:sz="4" w:space="0" w:color="auto"/>
            </w:tcBorders>
            <w:vAlign w:val="center"/>
          </w:tcPr>
          <w:p w14:paraId="71285C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CA89E2"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10D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E5F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1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vAlign w:val="center"/>
          </w:tcPr>
          <w:p w14:paraId="363248C5" w14:textId="77777777" w:rsidR="0013696A" w:rsidRPr="007147E5" w:rsidRDefault="007147E5" w:rsidP="001751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w:t>
            </w:r>
            <w:r w:rsidR="0017510D">
              <w:rPr>
                <w:rFonts w:eastAsia="Times New Roman" w:cs="Times New Roman"/>
                <w:b/>
                <w:bCs/>
                <w:color w:val="000000"/>
                <w:sz w:val="24"/>
                <w:szCs w:val="24"/>
              </w:rPr>
              <w:t>ã</w:t>
            </w:r>
            <w:r>
              <w:rPr>
                <w:rFonts w:eastAsia="Times New Roman" w:cs="Times New Roman"/>
                <w:b/>
                <w:bCs/>
                <w:color w:val="000000"/>
                <w:sz w:val="24"/>
                <w:szCs w:val="24"/>
              </w:rPr>
              <w:t xml:space="preserve"> có quyết định công nhận Đạt chuẩn </w:t>
            </w:r>
            <w:r w:rsidRPr="004E16B6">
              <w:rPr>
                <w:rFonts w:eastAsia="Times New Roman" w:cs="Times New Roman"/>
                <w:b/>
                <w:bCs/>
                <w:color w:val="000000"/>
                <w:sz w:val="24"/>
                <w:szCs w:val="24"/>
                <w:lang w:val="vi-VN"/>
              </w:rPr>
              <w:t>“An toàn về an ninh, trật tự” theo đúng quy định pháp luật về an ninh quốc gia, trật tự, an toàn xã hội</w:t>
            </w:r>
            <w:r>
              <w:rPr>
                <w:rFonts w:eastAsia="Times New Roman" w:cs="Times New Roman"/>
                <w:b/>
                <w:bCs/>
                <w:color w:val="000000"/>
                <w:sz w:val="24"/>
                <w:szCs w:val="24"/>
              </w:rPr>
              <w:t xml:space="preserve"> của cấp có thẩm quyền</w:t>
            </w:r>
          </w:p>
        </w:tc>
        <w:tc>
          <w:tcPr>
            <w:tcW w:w="361" w:type="pct"/>
            <w:tcBorders>
              <w:top w:val="single" w:sz="4" w:space="0" w:color="auto"/>
              <w:left w:val="single" w:sz="4" w:space="0" w:color="auto"/>
              <w:bottom w:val="single" w:sz="4" w:space="0" w:color="auto"/>
              <w:right w:val="single" w:sz="4" w:space="0" w:color="auto"/>
            </w:tcBorders>
          </w:tcPr>
          <w:p w14:paraId="421E732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535555F" w14:textId="3E2706A1" w:rsidR="0013696A" w:rsidRPr="004E16B6" w:rsidRDefault="007147E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0A18F70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93019E1"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8C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51FA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AF7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51F869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F79F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B3617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23AEEF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0A6CC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5D75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741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780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D7888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4097D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2332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4667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2133DE" w14:textId="77777777" w:rsidTr="00D123B3">
        <w:trPr>
          <w:tblCellSpacing w:w="0" w:type="dxa"/>
        </w:trPr>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B3D8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TỔNG CỘNG: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3F8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009" w:type="pct"/>
            <w:tcBorders>
              <w:top w:val="single" w:sz="4" w:space="0" w:color="auto"/>
              <w:left w:val="single" w:sz="4" w:space="0" w:color="auto"/>
              <w:bottom w:val="single" w:sz="4" w:space="0" w:color="auto"/>
              <w:right w:val="single" w:sz="4" w:space="0" w:color="auto"/>
            </w:tcBorders>
          </w:tcPr>
          <w:p w14:paraId="3B11108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8B3F69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06E541" w14:textId="6F394134" w:rsidR="0013696A" w:rsidRPr="00982284" w:rsidRDefault="00982284" w:rsidP="00365E5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9</w:t>
            </w:r>
            <w:r w:rsidR="00C66AFC">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6295BA8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bl>
    <w:p w14:paraId="05CFA44B"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3"/>
      </w:tblGrid>
      <w:tr w:rsidR="00C16462" w:rsidRPr="00C16462" w14:paraId="23B8DEC0" w14:textId="77777777" w:rsidTr="001A5ABF">
        <w:trPr>
          <w:trHeight w:val="2097"/>
        </w:trPr>
        <w:tc>
          <w:tcPr>
            <w:tcW w:w="3652" w:type="dxa"/>
          </w:tcPr>
          <w:p w14:paraId="09DE8028" w14:textId="77777777" w:rsidR="00C16462" w:rsidRDefault="00C16462" w:rsidP="00C16462">
            <w:pPr>
              <w:jc w:val="center"/>
              <w:rPr>
                <w:b/>
              </w:rPr>
            </w:pPr>
            <w:r w:rsidRPr="00C16462">
              <w:rPr>
                <w:b/>
              </w:rPr>
              <w:lastRenderedPageBreak/>
              <w:t>NGƯỜI LẬP</w:t>
            </w:r>
          </w:p>
          <w:p w14:paraId="37E726C5" w14:textId="77777777" w:rsidR="00C16462" w:rsidRDefault="00C16462" w:rsidP="00C16462">
            <w:pPr>
              <w:jc w:val="center"/>
              <w:rPr>
                <w:b/>
              </w:rPr>
            </w:pPr>
          </w:p>
          <w:p w14:paraId="39C71BCC" w14:textId="77777777" w:rsidR="00C16462" w:rsidRDefault="00C16462" w:rsidP="00C16462">
            <w:pPr>
              <w:jc w:val="center"/>
              <w:rPr>
                <w:b/>
              </w:rPr>
            </w:pPr>
          </w:p>
          <w:p w14:paraId="26823ED9" w14:textId="77777777" w:rsidR="00C16462" w:rsidRDefault="00C16462" w:rsidP="00C16462">
            <w:pPr>
              <w:jc w:val="center"/>
              <w:rPr>
                <w:b/>
                <w:lang w:val="vi-VN"/>
              </w:rPr>
            </w:pPr>
          </w:p>
          <w:p w14:paraId="6DB1C739" w14:textId="77777777" w:rsidR="00B15B3B" w:rsidRDefault="00B15B3B" w:rsidP="00C16462">
            <w:pPr>
              <w:jc w:val="center"/>
              <w:rPr>
                <w:b/>
                <w:lang w:val="vi-VN"/>
              </w:rPr>
            </w:pPr>
          </w:p>
          <w:p w14:paraId="5834BEFB" w14:textId="77777777" w:rsidR="00200FF5" w:rsidRPr="00200FF5" w:rsidRDefault="00200FF5" w:rsidP="00C16462">
            <w:pPr>
              <w:jc w:val="center"/>
              <w:rPr>
                <w:b/>
                <w:lang w:val="vi-VN"/>
              </w:rPr>
            </w:pPr>
          </w:p>
          <w:p w14:paraId="7A8F84F6" w14:textId="60584C05" w:rsidR="00C16462" w:rsidRPr="00C16462" w:rsidRDefault="00AC1BED" w:rsidP="00C16462">
            <w:pPr>
              <w:jc w:val="center"/>
              <w:rPr>
                <w:b/>
              </w:rPr>
            </w:pPr>
            <w:r>
              <w:rPr>
                <w:b/>
              </w:rPr>
              <w:t>Ph</w:t>
            </w:r>
            <w:r w:rsidR="00C66AFC">
              <w:rPr>
                <w:b/>
              </w:rPr>
              <w:t>ạm Thị Thu Thùy</w:t>
            </w:r>
          </w:p>
        </w:tc>
        <w:tc>
          <w:tcPr>
            <w:tcW w:w="6373" w:type="dxa"/>
          </w:tcPr>
          <w:p w14:paraId="6EECD324" w14:textId="77777777" w:rsidR="00B15B3B" w:rsidRPr="003F35E0" w:rsidRDefault="00B15B3B" w:rsidP="00B15B3B">
            <w:pPr>
              <w:tabs>
                <w:tab w:val="center" w:pos="4320"/>
                <w:tab w:val="right" w:pos="8640"/>
              </w:tabs>
              <w:jc w:val="center"/>
              <w:rPr>
                <w:b/>
                <w:szCs w:val="28"/>
                <w:lang w:val="vi-VN"/>
              </w:rPr>
            </w:pPr>
            <w:r>
              <w:rPr>
                <w:b/>
                <w:szCs w:val="28"/>
                <w:lang w:val="vi-VN"/>
              </w:rPr>
              <w:t xml:space="preserve">                                </w:t>
            </w:r>
            <w:r w:rsidRPr="003F35E0">
              <w:rPr>
                <w:b/>
                <w:szCs w:val="28"/>
                <w:lang w:val="vi-VN"/>
              </w:rPr>
              <w:t>TM. UỶ BAN NHÂN DÂN</w:t>
            </w:r>
          </w:p>
          <w:p w14:paraId="0E6CFD00" w14:textId="03844FE6" w:rsidR="00B15B3B" w:rsidRPr="003F35E0" w:rsidRDefault="00B15B3B" w:rsidP="00B15B3B">
            <w:pPr>
              <w:tabs>
                <w:tab w:val="center" w:pos="4320"/>
                <w:tab w:val="right" w:pos="8640"/>
              </w:tabs>
              <w:rPr>
                <w:b/>
                <w:szCs w:val="28"/>
                <w:lang w:val="vi-VN"/>
              </w:rPr>
            </w:pPr>
            <w:r w:rsidRPr="003F35E0">
              <w:rPr>
                <w:b/>
                <w:szCs w:val="28"/>
                <w:lang w:val="vi-VN"/>
              </w:rPr>
              <w:t xml:space="preserve">                        </w:t>
            </w:r>
            <w:r>
              <w:rPr>
                <w:b/>
                <w:szCs w:val="28"/>
                <w:lang w:val="vi-VN"/>
              </w:rPr>
              <w:t xml:space="preserve"> </w:t>
            </w:r>
            <w:r w:rsidRPr="003F35E0">
              <w:rPr>
                <w:b/>
                <w:szCs w:val="28"/>
                <w:lang w:val="vi-VN"/>
              </w:rPr>
              <w:t xml:space="preserve">  </w:t>
            </w:r>
            <w:r>
              <w:rPr>
                <w:b/>
                <w:szCs w:val="28"/>
                <w:lang w:val="vi-VN"/>
              </w:rPr>
              <w:t xml:space="preserve">                 </w:t>
            </w:r>
            <w:r w:rsidR="00145922" w:rsidRPr="003F35E0">
              <w:rPr>
                <w:b/>
                <w:szCs w:val="28"/>
                <w:lang w:val="vi-VN"/>
              </w:rPr>
              <w:t xml:space="preserve">PHÓ </w:t>
            </w:r>
            <w:r w:rsidRPr="003F35E0">
              <w:rPr>
                <w:b/>
                <w:szCs w:val="28"/>
                <w:lang w:val="vi-VN"/>
              </w:rPr>
              <w:t>CHỦ TỊCH</w:t>
            </w:r>
          </w:p>
          <w:p w14:paraId="5D22D794" w14:textId="77777777" w:rsidR="009B27A6" w:rsidRDefault="009B27A6" w:rsidP="00C16462">
            <w:pPr>
              <w:jc w:val="center"/>
              <w:rPr>
                <w:b/>
                <w:lang w:val="vi-VN"/>
              </w:rPr>
            </w:pPr>
          </w:p>
          <w:p w14:paraId="1CB53989" w14:textId="77777777" w:rsidR="00200FF5" w:rsidRDefault="00200FF5" w:rsidP="00C16462">
            <w:pPr>
              <w:jc w:val="center"/>
              <w:rPr>
                <w:b/>
                <w:lang w:val="vi-VN"/>
              </w:rPr>
            </w:pPr>
          </w:p>
          <w:p w14:paraId="6F6CFE67" w14:textId="77777777" w:rsidR="00200FF5" w:rsidRDefault="00200FF5" w:rsidP="00C16462">
            <w:pPr>
              <w:jc w:val="center"/>
              <w:rPr>
                <w:b/>
                <w:lang w:val="vi-VN"/>
              </w:rPr>
            </w:pPr>
          </w:p>
          <w:p w14:paraId="15B1B252" w14:textId="77777777" w:rsidR="001A5ABF" w:rsidRPr="00200FF5" w:rsidRDefault="001A5ABF" w:rsidP="00C16462">
            <w:pPr>
              <w:jc w:val="center"/>
              <w:rPr>
                <w:b/>
                <w:lang w:val="vi-VN"/>
              </w:rPr>
            </w:pPr>
          </w:p>
          <w:p w14:paraId="4368BA1E" w14:textId="555D05FD" w:rsidR="00C16462" w:rsidRPr="00C66AFC" w:rsidRDefault="00200FF5" w:rsidP="00B15B3B">
            <w:pPr>
              <w:jc w:val="center"/>
              <w:rPr>
                <w:b/>
              </w:rPr>
            </w:pPr>
            <w:r>
              <w:rPr>
                <w:b/>
                <w:lang w:val="vi-VN"/>
              </w:rPr>
              <w:t xml:space="preserve">  </w:t>
            </w:r>
            <w:r w:rsidR="00B15B3B">
              <w:rPr>
                <w:b/>
                <w:lang w:val="vi-VN"/>
              </w:rPr>
              <w:t xml:space="preserve">                             </w:t>
            </w:r>
            <w:r w:rsidR="00C66AFC">
              <w:rPr>
                <w:b/>
              </w:rPr>
              <w:t>Nguyễn Văn Cửu</w:t>
            </w:r>
          </w:p>
        </w:tc>
      </w:tr>
    </w:tbl>
    <w:p w14:paraId="06463B07" w14:textId="77777777" w:rsidR="00C16462" w:rsidRDefault="00C16462"/>
    <w:sectPr w:rsidR="00C16462" w:rsidSect="00AA2443">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6A"/>
    <w:rsid w:val="00061FEA"/>
    <w:rsid w:val="000F46E2"/>
    <w:rsid w:val="00112846"/>
    <w:rsid w:val="0013696A"/>
    <w:rsid w:val="00145922"/>
    <w:rsid w:val="0015022D"/>
    <w:rsid w:val="0017510D"/>
    <w:rsid w:val="001A5ABF"/>
    <w:rsid w:val="001B2976"/>
    <w:rsid w:val="00200FF5"/>
    <w:rsid w:val="00213BED"/>
    <w:rsid w:val="00272428"/>
    <w:rsid w:val="0030776D"/>
    <w:rsid w:val="00365E59"/>
    <w:rsid w:val="00373D2F"/>
    <w:rsid w:val="003F35E0"/>
    <w:rsid w:val="0041303D"/>
    <w:rsid w:val="00450CDD"/>
    <w:rsid w:val="00476DA2"/>
    <w:rsid w:val="004E16B6"/>
    <w:rsid w:val="00585108"/>
    <w:rsid w:val="00586E66"/>
    <w:rsid w:val="005D49AB"/>
    <w:rsid w:val="00632F8E"/>
    <w:rsid w:val="006B23A2"/>
    <w:rsid w:val="007147E5"/>
    <w:rsid w:val="00715DA7"/>
    <w:rsid w:val="0074680D"/>
    <w:rsid w:val="0077033C"/>
    <w:rsid w:val="00790D26"/>
    <w:rsid w:val="007C32F0"/>
    <w:rsid w:val="007D7E03"/>
    <w:rsid w:val="00813809"/>
    <w:rsid w:val="00851547"/>
    <w:rsid w:val="00885CB5"/>
    <w:rsid w:val="008B0407"/>
    <w:rsid w:val="00982284"/>
    <w:rsid w:val="00991AB5"/>
    <w:rsid w:val="009B27A6"/>
    <w:rsid w:val="009D5B46"/>
    <w:rsid w:val="009F6A52"/>
    <w:rsid w:val="00AA2443"/>
    <w:rsid w:val="00AC1BED"/>
    <w:rsid w:val="00B15B3B"/>
    <w:rsid w:val="00B66CAA"/>
    <w:rsid w:val="00BA186B"/>
    <w:rsid w:val="00C16462"/>
    <w:rsid w:val="00C24AE7"/>
    <w:rsid w:val="00C42D51"/>
    <w:rsid w:val="00C66AFC"/>
    <w:rsid w:val="00CB2EB6"/>
    <w:rsid w:val="00D123B3"/>
    <w:rsid w:val="00D80414"/>
    <w:rsid w:val="00DB1265"/>
    <w:rsid w:val="00E11C70"/>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0F61-5854-43E2-8B9B-6A0804FA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2024-01-16T01:11:00Z</cp:lastPrinted>
  <dcterms:created xsi:type="dcterms:W3CDTF">2025-01-03T08:45:00Z</dcterms:created>
  <dcterms:modified xsi:type="dcterms:W3CDTF">2025-01-03T08:45:00Z</dcterms:modified>
</cp:coreProperties>
</file>